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4C5CA7" w:rsidRPr="00CD0055" w:rsidTr="00E13236">
        <w:trPr>
          <w:jc w:val="center"/>
        </w:trPr>
        <w:tc>
          <w:tcPr>
            <w:tcW w:w="8820" w:type="dxa"/>
            <w:gridSpan w:val="2"/>
            <w:hideMark/>
          </w:tcPr>
          <w:p w:rsidR="004C5CA7" w:rsidRPr="004C5CA7" w:rsidRDefault="004C5CA7" w:rsidP="004C5CA7">
            <w:pPr>
              <w:jc w:val="both"/>
              <w:rPr>
                <w:b/>
                <w:bCs/>
                <w:sz w:val="26"/>
                <w:szCs w:val="26"/>
              </w:rPr>
            </w:pPr>
            <w:r w:rsidRPr="003F620D">
              <w:rPr>
                <w:rFonts w:hint="cs"/>
                <w:b/>
                <w:bCs/>
                <w:sz w:val="28"/>
                <w:szCs w:val="28"/>
                <w:rtl/>
              </w:rPr>
              <w:t xml:space="preserve">לפני </w:t>
            </w:r>
            <w:r w:rsidRPr="003F620D">
              <w:rPr>
                <w:rFonts w:ascii="Arial" w:hAnsi="Arial" w:hint="cs"/>
                <w:b/>
                <w:bCs/>
                <w:sz w:val="28"/>
                <w:szCs w:val="28"/>
                <w:rtl/>
              </w:rPr>
              <w:t>כבוד ה</w:t>
            </w:r>
            <w:sdt>
              <w:sdtPr>
                <w:rPr>
                  <w:sz w:val="28"/>
                  <w:szCs w:val="28"/>
                  <w:rtl/>
                </w:rPr>
                <w:alias w:val="1574"/>
                <w:tag w:val="1574"/>
                <w:id w:val="-868990752"/>
                <w:text w:multiLine="1"/>
              </w:sdtPr>
              <w:sdtEndPr/>
              <w:sdtContent>
                <w:r w:rsidRPr="003F620D">
                  <w:rPr>
                    <w:rFonts w:ascii="Arial" w:hAnsi="Arial"/>
                    <w:b/>
                    <w:bCs/>
                    <w:sz w:val="28"/>
                    <w:szCs w:val="28"/>
                    <w:rtl/>
                  </w:rPr>
                  <w:t>שופט</w:t>
                </w:r>
              </w:sdtContent>
            </w:sdt>
            <w:r w:rsidRPr="003F620D">
              <w:rPr>
                <w:rFonts w:ascii="Arial" w:hAnsi="Arial" w:hint="cs"/>
                <w:b/>
                <w:bCs/>
                <w:sz w:val="28"/>
                <w:szCs w:val="28"/>
                <w:rtl/>
              </w:rPr>
              <w:t xml:space="preserve"> </w:t>
            </w:r>
            <w:sdt>
              <w:sdtPr>
                <w:rPr>
                  <w:sz w:val="28"/>
                  <w:szCs w:val="28"/>
                  <w:rtl/>
                </w:rPr>
                <w:alias w:val="1573"/>
                <w:tag w:val="1573"/>
                <w:id w:val="407734867"/>
                <w:text w:multiLine="1"/>
              </w:sdtPr>
              <w:sdtEndPr/>
              <w:sdtContent>
                <w:r w:rsidRPr="003F620D">
                  <w:rPr>
                    <w:rFonts w:ascii="Arial" w:hAnsi="Arial"/>
                    <w:b/>
                    <w:bCs/>
                    <w:sz w:val="28"/>
                    <w:szCs w:val="28"/>
                    <w:rtl/>
                  </w:rPr>
                  <w:t>אביים ברקאי</w:t>
                </w:r>
              </w:sdtContent>
            </w:sdt>
          </w:p>
        </w:tc>
      </w:tr>
      <w:tr w:rsidR="006816EC" w:rsidRPr="00CD0055" w:rsidTr="006816EC">
        <w:trPr>
          <w:jc w:val="center"/>
        </w:trPr>
        <w:tc>
          <w:tcPr>
            <w:tcW w:w="3249" w:type="dxa"/>
          </w:tcPr>
          <w:p w:rsidR="006816EC" w:rsidRPr="00CD0055" w:rsidRDefault="006816EC">
            <w:pPr>
              <w:bidi w:val="0"/>
              <w:rPr>
                <w:rFonts w:ascii="Arial (W1)" w:hAnsi="Arial (W1)"/>
                <w:b/>
                <w:bCs/>
                <w:noProof w:val="0"/>
                <w:sz w:val="26"/>
                <w:szCs w:val="26"/>
                <w:rtl/>
              </w:rPr>
            </w:pPr>
          </w:p>
          <w:p w:rsidR="006816EC" w:rsidRPr="00CD0055" w:rsidRDefault="00A62BD0" w:rsidP="003F620D">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0"/>
                <w:tag w:val="1180"/>
                <w:id w:val="-803768281"/>
                <w:text w:multiLine="1"/>
              </w:sdtPr>
              <w:sdtEndPr/>
              <w:sdtContent>
                <w:r>
                  <w:rPr>
                    <w:rFonts w:hint="cs"/>
                    <w:b/>
                    <w:bCs/>
                    <w:noProof w:val="0"/>
                    <w:sz w:val="26"/>
                    <w:szCs w:val="26"/>
                    <w:rtl/>
                  </w:rPr>
                  <w:t>תובע</w:t>
                </w:r>
                <w:r w:rsidR="003F620D">
                  <w:rPr>
                    <w:rFonts w:hint="cs"/>
                    <w:b/>
                    <w:bCs/>
                    <w:noProof w:val="0"/>
                    <w:sz w:val="26"/>
                    <w:szCs w:val="26"/>
                    <w:rtl/>
                  </w:rPr>
                  <w:t>ת</w:t>
                </w:r>
              </w:sdtContent>
            </w:sdt>
            <w:r w:rsidRPr="00A62BD0">
              <w:rPr>
                <w:rFonts w:hint="cs"/>
                <w:b/>
                <w:bCs/>
                <w:sz w:val="26"/>
                <w:szCs w:val="26"/>
                <w:rtl/>
              </w:rPr>
              <w:t>:</w:t>
            </w:r>
          </w:p>
        </w:tc>
        <w:tc>
          <w:tcPr>
            <w:tcW w:w="5571" w:type="dxa"/>
          </w:tcPr>
          <w:p w:rsidR="006816EC" w:rsidRPr="00CD0055" w:rsidRDefault="006816EC">
            <w:pPr>
              <w:rPr>
                <w:rFonts w:ascii="Arial (W1)" w:hAnsi="Arial (W1)"/>
                <w:b/>
                <w:bCs/>
                <w:noProof w:val="0"/>
                <w:sz w:val="26"/>
                <w:szCs w:val="26"/>
                <w:rtl/>
              </w:rPr>
            </w:pPr>
          </w:p>
          <w:p w:rsidR="00590BFF" w:rsidRDefault="00590BFF" w:rsidP="00590BFF">
            <w:pPr>
              <w:suppressLineNumbers/>
            </w:pPr>
            <w:r>
              <w:rPr>
                <w:rFonts w:ascii="Arial" w:hAnsi="Arial"/>
                <w:b/>
                <w:bCs/>
                <w:noProof w:val="0"/>
                <w:sz w:val="26"/>
                <w:szCs w:val="26"/>
                <w:rtl/>
              </w:rPr>
              <w:t xml:space="preserve"> </w:t>
            </w:r>
            <w:sdt>
              <w:sdtPr>
                <w:rPr>
                  <w:rFonts w:ascii="Arial" w:hAnsi="Arial"/>
                  <w:b/>
                  <w:bCs/>
                  <w:noProof w:val="0"/>
                  <w:sz w:val="26"/>
                  <w:szCs w:val="26"/>
                  <w:rtl/>
                </w:rPr>
                <w:alias w:val="3151"/>
                <w:tag w:val="3151"/>
                <w:id w:val="1398553265"/>
                <w:placeholder>
                  <w:docPart w:val="CF23C55E153C472887A89D9B7136BCD7"/>
                </w:placeholder>
                <w:text w:multiLine="1"/>
              </w:sdtPr>
              <w:sdtEndPr/>
              <w:sdtContent>
                <w:r w:rsidR="00445367">
                  <w:rPr>
                    <w:rFonts w:ascii="Arial" w:hAnsi="Arial"/>
                    <w:b/>
                    <w:bCs/>
                    <w:noProof w:val="0"/>
                    <w:sz w:val="26"/>
                    <w:szCs w:val="26"/>
                    <w:rtl/>
                  </w:rPr>
                  <w:t>מאי מוטורס (2015) בע"מ</w:t>
                </w:r>
              </w:sdtContent>
            </w:sdt>
          </w:p>
          <w:p w:rsidR="006816EC" w:rsidRPr="00590BFF" w:rsidRDefault="006816EC" w:rsidP="00934F1C">
            <w:pPr>
              <w:rPr>
                <w:sz w:val="26"/>
                <w:szCs w:val="26"/>
              </w:rPr>
            </w:pPr>
          </w:p>
        </w:tc>
      </w:tr>
      <w:tr w:rsidR="006816EC" w:rsidRPr="00CD0055" w:rsidTr="006816EC">
        <w:trPr>
          <w:jc w:val="center"/>
        </w:trPr>
        <w:tc>
          <w:tcPr>
            <w:tcW w:w="8820" w:type="dxa"/>
            <w:gridSpan w:val="2"/>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A62BD0" w:rsidRDefault="006816EC">
            <w:pPr>
              <w:rPr>
                <w:rFonts w:ascii="Arial (W1)" w:hAnsi="Arial (W1)"/>
                <w:b/>
                <w:bCs/>
                <w:noProof w:val="0"/>
                <w:sz w:val="22"/>
                <w:szCs w:val="22"/>
              </w:rPr>
            </w:pPr>
          </w:p>
        </w:tc>
      </w:tr>
      <w:tr w:rsidR="006816EC" w:rsidRPr="00CD0055" w:rsidTr="006816EC">
        <w:trPr>
          <w:jc w:val="center"/>
        </w:trPr>
        <w:tc>
          <w:tcPr>
            <w:tcW w:w="3249" w:type="dxa"/>
          </w:tcPr>
          <w:p w:rsidR="006816EC" w:rsidRPr="00CD0055" w:rsidRDefault="006816EC">
            <w:pPr>
              <w:rPr>
                <w:rFonts w:ascii="Arial (W1)" w:hAnsi="Arial (W1)"/>
                <w:b/>
                <w:bCs/>
                <w:noProof w:val="0"/>
                <w:sz w:val="26"/>
                <w:szCs w:val="26"/>
                <w:rtl/>
              </w:rPr>
            </w:pPr>
          </w:p>
          <w:p w:rsidR="006816EC" w:rsidRPr="00CD0055" w:rsidRDefault="00A62BD0" w:rsidP="003F620D">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4"/>
                <w:tag w:val="1184"/>
                <w:id w:val="-910234160"/>
                <w:text w:multiLine="1"/>
              </w:sdtPr>
              <w:sdtEndPr/>
              <w:sdtContent>
                <w:r>
                  <w:rPr>
                    <w:rFonts w:hint="cs"/>
                    <w:b/>
                    <w:bCs/>
                    <w:noProof w:val="0"/>
                    <w:sz w:val="26"/>
                    <w:szCs w:val="26"/>
                    <w:rtl/>
                  </w:rPr>
                  <w:t>נתבע</w:t>
                </w:r>
                <w:r w:rsidR="003F620D">
                  <w:rPr>
                    <w:rFonts w:hint="cs"/>
                    <w:b/>
                    <w:bCs/>
                    <w:noProof w:val="0"/>
                    <w:sz w:val="26"/>
                    <w:szCs w:val="26"/>
                    <w:rtl/>
                  </w:rPr>
                  <w:t>ת</w:t>
                </w:r>
              </w:sdtContent>
            </w:sdt>
            <w:r>
              <w:rPr>
                <w:rFonts w:ascii="Arial (W1)" w:hAnsi="Arial (W1)" w:hint="cs"/>
                <w:b/>
                <w:bCs/>
                <w:noProof w:val="0"/>
                <w:sz w:val="26"/>
                <w:szCs w:val="26"/>
                <w:rtl/>
              </w:rPr>
              <w:t>:</w:t>
            </w:r>
          </w:p>
        </w:tc>
        <w:tc>
          <w:tcPr>
            <w:tcW w:w="5571" w:type="dxa"/>
          </w:tcPr>
          <w:p w:rsidR="006816EC" w:rsidRPr="00CD0055" w:rsidRDefault="006816EC">
            <w:pPr>
              <w:rPr>
                <w:rFonts w:ascii="Arial (W1)" w:hAnsi="Arial (W1)"/>
                <w:b/>
                <w:bCs/>
                <w:noProof w:val="0"/>
                <w:sz w:val="26"/>
                <w:szCs w:val="26"/>
                <w:rtl/>
              </w:rPr>
            </w:pPr>
          </w:p>
          <w:p w:rsidR="00590BFF" w:rsidRDefault="00590BFF" w:rsidP="00590BFF">
            <w:pPr>
              <w:suppressLineNumbers/>
            </w:pPr>
            <w:r>
              <w:rPr>
                <w:rFonts w:ascii="Arial" w:hAnsi="Arial"/>
                <w:b/>
                <w:bCs/>
                <w:noProof w:val="0"/>
                <w:sz w:val="26"/>
                <w:szCs w:val="26"/>
                <w:rtl/>
              </w:rPr>
              <w:t xml:space="preserve"> </w:t>
            </w:r>
            <w:sdt>
              <w:sdtPr>
                <w:rPr>
                  <w:rFonts w:ascii="Arial" w:hAnsi="Arial"/>
                  <w:b/>
                  <w:bCs/>
                  <w:noProof w:val="0"/>
                  <w:sz w:val="26"/>
                  <w:szCs w:val="26"/>
                  <w:rtl/>
                </w:rPr>
                <w:alias w:val="3152"/>
                <w:tag w:val="3152"/>
                <w:id w:val="1920052440"/>
                <w:placeholder>
                  <w:docPart w:val="194E34B33324450F97AD1D486216FCF5"/>
                </w:placeholder>
                <w:text w:multiLine="1"/>
              </w:sdtPr>
              <w:sdtEndPr/>
              <w:sdtContent>
                <w:r w:rsidR="00445367">
                  <w:rPr>
                    <w:rFonts w:ascii="Arial" w:hAnsi="Arial"/>
                    <w:b/>
                    <w:bCs/>
                    <w:noProof w:val="0"/>
                    <w:sz w:val="26"/>
                    <w:szCs w:val="26"/>
                    <w:rtl/>
                  </w:rPr>
                  <w:t>מדינת ישראל</w:t>
                </w:r>
                <w:r w:rsidR="003F620D">
                  <w:rPr>
                    <w:rFonts w:ascii="Arial" w:hAnsi="Arial"/>
                    <w:b/>
                    <w:bCs/>
                    <w:noProof w:val="0"/>
                    <w:sz w:val="26"/>
                    <w:szCs w:val="26"/>
                    <w:rtl/>
                  </w:rPr>
                  <w:t xml:space="preserve"> – אגף </w:t>
                </w:r>
                <w:r w:rsidR="003F620D">
                  <w:rPr>
                    <w:rFonts w:ascii="Arial" w:hAnsi="Arial" w:hint="cs"/>
                    <w:b/>
                    <w:bCs/>
                    <w:noProof w:val="0"/>
                    <w:sz w:val="26"/>
                    <w:szCs w:val="26"/>
                    <w:rtl/>
                  </w:rPr>
                  <w:t>המכס והמע"מ</w:t>
                </w:r>
              </w:sdtContent>
            </w:sdt>
          </w:p>
          <w:p w:rsidR="006816EC" w:rsidRPr="003F620D" w:rsidRDefault="006816EC" w:rsidP="00934F1C">
            <w:pPr>
              <w:rPr>
                <w:sz w:val="26"/>
                <w:szCs w:val="26"/>
              </w:rPr>
            </w:pPr>
          </w:p>
        </w:tc>
      </w:tr>
    </w:tbl>
    <w:p w:rsidR="006816EC" w:rsidRDefault="006816EC" w:rsidP="00E13360">
      <w:pPr>
        <w:suppressLineNumbers/>
        <w:rPr>
          <w:rFonts w:ascii="Arial (W1)" w:hAnsi="Arial (W1)"/>
          <w:sz w:val="28"/>
          <w:szCs w:val="28"/>
          <w:rtl/>
        </w:rPr>
      </w:pPr>
    </w:p>
    <w:p w:rsidR="003F620D" w:rsidRPr="003F620D" w:rsidRDefault="003F620D" w:rsidP="003F620D">
      <w:pPr>
        <w:suppressLineNumbers/>
        <w:ind w:left="-340"/>
        <w:rPr>
          <w:rFonts w:ascii="Arial (W1)" w:hAnsi="Arial (W1)"/>
          <w:rtl/>
        </w:rPr>
      </w:pPr>
      <w:r w:rsidRPr="003F620D">
        <w:rPr>
          <w:rFonts w:ascii="Arial (W1)" w:hAnsi="Arial (W1)" w:hint="cs"/>
          <w:rtl/>
        </w:rPr>
        <w:t>ב"כ התובעת:</w:t>
      </w:r>
      <w:r w:rsidRPr="003F620D">
        <w:rPr>
          <w:rFonts w:ascii="Arial (W1)" w:hAnsi="Arial (W1)"/>
          <w:rtl/>
        </w:rPr>
        <w:tab/>
      </w:r>
      <w:r w:rsidRPr="003F620D">
        <w:rPr>
          <w:rFonts w:ascii="Arial (W1)" w:hAnsi="Arial (W1)" w:hint="cs"/>
          <w:rtl/>
        </w:rPr>
        <w:t>עו"ד אליס אברמוביץ'</w:t>
      </w:r>
    </w:p>
    <w:p w:rsidR="003F620D" w:rsidRDefault="003F620D" w:rsidP="003F620D">
      <w:pPr>
        <w:suppressLineNumbers/>
        <w:ind w:left="-340"/>
        <w:rPr>
          <w:rFonts w:ascii="Arial (W1)" w:hAnsi="Arial (W1)"/>
          <w:sz w:val="28"/>
          <w:szCs w:val="28"/>
          <w:rtl/>
        </w:rPr>
      </w:pPr>
      <w:r w:rsidRPr="003F620D">
        <w:rPr>
          <w:rFonts w:ascii="Arial (W1)" w:hAnsi="Arial (W1)" w:hint="cs"/>
          <w:rtl/>
        </w:rPr>
        <w:t>ב"כ הנתבעת:</w:t>
      </w:r>
      <w:r w:rsidRPr="003F620D">
        <w:rPr>
          <w:rFonts w:ascii="Arial (W1)" w:hAnsi="Arial (W1)"/>
          <w:rtl/>
        </w:rPr>
        <w:tab/>
      </w:r>
      <w:r w:rsidRPr="003F620D">
        <w:rPr>
          <w:rFonts w:ascii="Arial (W1)" w:hAnsi="Arial (W1)" w:hint="cs"/>
          <w:rtl/>
        </w:rPr>
        <w:t>עו"ד אדם</w:t>
      </w:r>
      <w:r>
        <w:rPr>
          <w:rFonts w:ascii="Arial (W1)" w:hAnsi="Arial (W1)" w:hint="cs"/>
          <w:sz w:val="28"/>
          <w:szCs w:val="28"/>
          <w:rtl/>
        </w:rPr>
        <w:t xml:space="preserve"> טהרני</w:t>
      </w:r>
    </w:p>
    <w:p w:rsidR="003F620D" w:rsidRPr="00E13360" w:rsidRDefault="003F620D" w:rsidP="00E13360">
      <w:pPr>
        <w:suppressLineNumbers/>
        <w:rPr>
          <w:rFonts w:ascii="Arial (W1)" w:hAnsi="Arial (W1)"/>
          <w:sz w:val="28"/>
          <w:szCs w:val="28"/>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sidRPr="003F620D">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3F620D" w:rsidRDefault="003F620D" w:rsidP="003F620D">
      <w:pPr>
        <w:pStyle w:val="ad"/>
        <w:spacing w:line="360" w:lineRule="auto"/>
        <w:ind w:left="-739"/>
        <w:jc w:val="both"/>
        <w:rPr>
          <w:rFonts w:ascii="David" w:hAnsi="David" w:cs="David"/>
          <w:b/>
          <w:bCs/>
          <w:sz w:val="28"/>
          <w:szCs w:val="28"/>
          <w:u w:val="single"/>
        </w:rPr>
      </w:pPr>
      <w:r>
        <w:rPr>
          <w:rFonts w:ascii="David" w:hAnsi="David" w:cs="David"/>
          <w:b/>
          <w:bCs/>
          <w:sz w:val="28"/>
          <w:szCs w:val="28"/>
          <w:u w:val="single"/>
          <w:rtl/>
        </w:rPr>
        <w:t xml:space="preserve">חלק ראשון – פתח דבר </w:t>
      </w:r>
    </w:p>
    <w:p w:rsidR="003F620D" w:rsidRDefault="003F620D" w:rsidP="003F620D">
      <w:pPr>
        <w:pStyle w:val="ad"/>
        <w:spacing w:line="360" w:lineRule="auto"/>
        <w:ind w:left="-739"/>
        <w:jc w:val="both"/>
        <w:rPr>
          <w:rFonts w:ascii="David" w:hAnsi="David" w:cs="David"/>
          <w:sz w:val="24"/>
          <w:szCs w:val="24"/>
          <w:rtl/>
        </w:rPr>
      </w:pPr>
    </w:p>
    <w:p w:rsidR="003F620D" w:rsidRDefault="003F620D" w:rsidP="003F620D">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 xml:space="preserve">כללי </w:t>
      </w:r>
    </w:p>
    <w:p w:rsidR="003F620D" w:rsidRDefault="003F620D" w:rsidP="003F620D">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מהות פסק הדין והסעדים הנדרשים</w:t>
      </w:r>
    </w:p>
    <w:p w:rsidR="003F620D" w:rsidRDefault="003F620D" w:rsidP="003F620D">
      <w:pPr>
        <w:pStyle w:val="ad"/>
        <w:spacing w:line="360" w:lineRule="auto"/>
        <w:ind w:left="395"/>
        <w:jc w:val="both"/>
        <w:rPr>
          <w:rFonts w:ascii="David" w:hAnsi="David" w:cs="David"/>
          <w:sz w:val="24"/>
          <w:szCs w:val="24"/>
        </w:rPr>
      </w:pPr>
      <w:r>
        <w:rPr>
          <w:rFonts w:ascii="David" w:hAnsi="David" w:cs="David"/>
          <w:sz w:val="24"/>
          <w:szCs w:val="24"/>
          <w:rtl/>
        </w:rPr>
        <w:t xml:space="preserve">עניינו של פסק דין זה הוא תביעת חברה העוסקת בייבוא מקביל של כלי רכב כנגד רשות המיסים. התביעה הוגשה בגין מיסי ייבוא שהוטלו על התובעת. פסק הדין מאגד שתי תביעות שהוגשו, האחת משנת 2021 שנדונה לפני והשנייה משנת 2020 שהועברה ממותב אחר ואוחדה לדיון לפני. </w:t>
      </w:r>
    </w:p>
    <w:p w:rsidR="003F620D" w:rsidRDefault="003F620D" w:rsidP="003F620D">
      <w:pPr>
        <w:pStyle w:val="ad"/>
        <w:spacing w:line="360" w:lineRule="auto"/>
        <w:ind w:left="395"/>
        <w:jc w:val="both"/>
        <w:rPr>
          <w:rFonts w:ascii="David" w:hAnsi="David" w:cs="David"/>
          <w:sz w:val="24"/>
          <w:szCs w:val="24"/>
          <w:rtl/>
        </w:rPr>
      </w:pPr>
    </w:p>
    <w:p w:rsidR="003F620D" w:rsidRDefault="003F620D" w:rsidP="003F620D">
      <w:pPr>
        <w:pStyle w:val="ad"/>
        <w:spacing w:line="360" w:lineRule="auto"/>
        <w:ind w:left="395"/>
        <w:jc w:val="both"/>
        <w:rPr>
          <w:rFonts w:ascii="David" w:hAnsi="David" w:cs="David"/>
          <w:sz w:val="24"/>
          <w:szCs w:val="24"/>
          <w:rtl/>
        </w:rPr>
      </w:pPr>
      <w:r>
        <w:rPr>
          <w:rFonts w:ascii="David" w:hAnsi="David" w:cs="David"/>
          <w:sz w:val="24"/>
          <w:szCs w:val="24"/>
          <w:rtl/>
        </w:rPr>
        <w:t>התובעת עותרת לסעדים הבאים:</w:t>
      </w:r>
    </w:p>
    <w:p w:rsidR="003F620D" w:rsidRDefault="003F620D" w:rsidP="003F620D">
      <w:pPr>
        <w:pStyle w:val="ad"/>
        <w:spacing w:line="360" w:lineRule="auto"/>
        <w:ind w:left="395"/>
        <w:jc w:val="both"/>
        <w:rPr>
          <w:rFonts w:ascii="David" w:hAnsi="David" w:cs="David"/>
          <w:sz w:val="24"/>
          <w:szCs w:val="24"/>
          <w:rtl/>
        </w:rPr>
      </w:pPr>
    </w:p>
    <w:p w:rsidR="003F620D" w:rsidRDefault="003F620D" w:rsidP="003F620D">
      <w:pPr>
        <w:pStyle w:val="ad"/>
        <w:numPr>
          <w:ilvl w:val="0"/>
          <w:numId w:val="2"/>
        </w:numPr>
        <w:spacing w:line="360" w:lineRule="auto"/>
        <w:jc w:val="both"/>
        <w:rPr>
          <w:rFonts w:ascii="David" w:hAnsi="David" w:cs="David"/>
          <w:sz w:val="24"/>
          <w:szCs w:val="24"/>
          <w:rtl/>
        </w:rPr>
      </w:pPr>
      <w:r>
        <w:rPr>
          <w:rFonts w:ascii="David" w:hAnsi="David" w:cs="David"/>
          <w:sz w:val="24"/>
          <w:szCs w:val="24"/>
          <w:rtl/>
        </w:rPr>
        <w:t>סעד הצהרתי לפיו הודעות החיוב שהוצאו ופורטו בשני כתבי התביעה – הוצאו שלא כדין.</w:t>
      </w:r>
    </w:p>
    <w:p w:rsidR="003F620D" w:rsidRDefault="003F620D" w:rsidP="003F620D">
      <w:pPr>
        <w:pStyle w:val="ad"/>
        <w:spacing w:line="360" w:lineRule="auto"/>
        <w:ind w:left="755"/>
        <w:jc w:val="both"/>
        <w:rPr>
          <w:rFonts w:ascii="David" w:hAnsi="David" w:cs="David"/>
          <w:sz w:val="24"/>
          <w:szCs w:val="24"/>
        </w:rPr>
      </w:pPr>
      <w:r>
        <w:rPr>
          <w:rFonts w:ascii="David" w:hAnsi="David" w:cs="David"/>
          <w:sz w:val="24"/>
          <w:szCs w:val="24"/>
          <w:rtl/>
        </w:rPr>
        <w:t xml:space="preserve"> </w:t>
      </w:r>
    </w:p>
    <w:p w:rsidR="003F620D" w:rsidRDefault="003F620D" w:rsidP="003F620D">
      <w:pPr>
        <w:pStyle w:val="ad"/>
        <w:numPr>
          <w:ilvl w:val="0"/>
          <w:numId w:val="2"/>
        </w:numPr>
        <w:spacing w:line="360" w:lineRule="auto"/>
        <w:jc w:val="both"/>
        <w:rPr>
          <w:rFonts w:ascii="David" w:hAnsi="David" w:cs="David"/>
          <w:sz w:val="24"/>
          <w:szCs w:val="24"/>
        </w:rPr>
      </w:pPr>
      <w:r>
        <w:rPr>
          <w:rFonts w:ascii="David" w:hAnsi="David" w:cs="David"/>
          <w:sz w:val="24"/>
          <w:szCs w:val="24"/>
          <w:rtl/>
        </w:rPr>
        <w:t>עוד עותרת התובעת לקבוע השבת מיסי הייבוא ששילמה – כאשר בת"א 21649-09-20 עותרת התובעת להשבת מס בסך של 17,006 ₪ ואילו בת"א 8411-05-21 עותרת התובעת להשבת מס בסך של 141,496 ₪.</w:t>
      </w:r>
    </w:p>
    <w:p w:rsidR="003F620D" w:rsidRDefault="003F620D" w:rsidP="003F620D">
      <w:pPr>
        <w:pStyle w:val="ad"/>
        <w:spacing w:line="360" w:lineRule="auto"/>
        <w:ind w:left="755"/>
        <w:jc w:val="both"/>
        <w:rPr>
          <w:rFonts w:ascii="David" w:hAnsi="David" w:cs="David"/>
          <w:sz w:val="24"/>
          <w:szCs w:val="24"/>
        </w:rPr>
      </w:pPr>
    </w:p>
    <w:p w:rsidR="003F620D" w:rsidRDefault="003F620D" w:rsidP="003F620D">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לחילופין עותרת התובעת, </w:t>
      </w:r>
      <w:r>
        <w:rPr>
          <w:rFonts w:ascii="David" w:hAnsi="David" w:cs="David"/>
          <w:sz w:val="24"/>
          <w:szCs w:val="24"/>
          <w:u w:val="single"/>
          <w:rtl/>
        </w:rPr>
        <w:t>רק במסגרת תביעת שנת 2021</w:t>
      </w:r>
      <w:r>
        <w:rPr>
          <w:rFonts w:ascii="David" w:hAnsi="David" w:cs="David"/>
          <w:sz w:val="24"/>
          <w:szCs w:val="24"/>
          <w:rtl/>
        </w:rPr>
        <w:t xml:space="preserve"> לפטור אותה מתשלום הגירעון בסך של 141,496 ₪ וזאת מכח סעיף 3 לחוק מסים עקיפים (מס ששולם ביתר או בחסר), תשכ"ח – 1968. </w:t>
      </w:r>
    </w:p>
    <w:p w:rsidR="003F620D" w:rsidRDefault="003F620D" w:rsidP="003F620D">
      <w:pPr>
        <w:pStyle w:val="ad"/>
        <w:spacing w:line="360" w:lineRule="auto"/>
        <w:ind w:left="395"/>
        <w:jc w:val="both"/>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מהות המחלוקת והתייחסות למונח – "מסמך העדפה"</w:t>
      </w:r>
    </w:p>
    <w:p w:rsidR="003F620D" w:rsidRDefault="003F620D" w:rsidP="003F620D">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התובעת מייבאת החל משנת 2019, כלי רכב יוקרתיים לישראל, כאשר בשנים 2019-2020 ייבאה 36 כלי רכב כאמור. בעת ייבוא כלי הרכב, ביקשה התובעת פטור מחיובי מכס. </w:t>
      </w:r>
    </w:p>
    <w:p w:rsidR="003F620D" w:rsidRDefault="003F620D" w:rsidP="003F620D">
      <w:pPr>
        <w:pStyle w:val="ad"/>
        <w:spacing w:line="360" w:lineRule="auto"/>
        <w:ind w:left="1115"/>
        <w:jc w:val="both"/>
        <w:rPr>
          <w:rFonts w:ascii="David" w:hAnsi="David" w:cs="David"/>
          <w:sz w:val="24"/>
          <w:szCs w:val="24"/>
        </w:rPr>
      </w:pPr>
    </w:p>
    <w:p w:rsidR="003F620D" w:rsidRDefault="003F620D" w:rsidP="003F620D">
      <w:pPr>
        <w:pStyle w:val="ad"/>
        <w:numPr>
          <w:ilvl w:val="0"/>
          <w:numId w:val="3"/>
        </w:numPr>
        <w:spacing w:line="360" w:lineRule="auto"/>
        <w:jc w:val="both"/>
        <w:rPr>
          <w:rFonts w:ascii="David" w:hAnsi="David" w:cs="David"/>
          <w:sz w:val="24"/>
          <w:szCs w:val="24"/>
        </w:rPr>
      </w:pPr>
      <w:r>
        <w:rPr>
          <w:rFonts w:ascii="David" w:hAnsi="David" w:cs="David"/>
          <w:sz w:val="24"/>
          <w:szCs w:val="24"/>
          <w:rtl/>
        </w:rPr>
        <w:t>מנגד סירבה הנתבעת להעניק לתובעת פטור ממכס, וזאת בשל מחלוקת שנגעה למסמך המכונה "מסמך העדפה". אותו מסמך העדפה, אליו עוד אתייחס רבות בפסק הדין, הוא המקנה את הפטור ממכס. בהיעדרו של מסמך העדפה הרי לטעמה של הנתבעת – לא זכאית התובעת לפטור כאמור. זו עיקרה של המחלוקת בין הצדדים, מחלוקת שהסתעפה למחלוקות משנה נוספות אליהן אתייחס בהמשך פסק הדין.</w:t>
      </w:r>
    </w:p>
    <w:p w:rsidR="003F620D" w:rsidRDefault="003F620D" w:rsidP="003F620D">
      <w:pPr>
        <w:pStyle w:val="ad"/>
        <w:spacing w:line="360" w:lineRule="auto"/>
        <w:ind w:left="755"/>
        <w:jc w:val="both"/>
        <w:rPr>
          <w:rFonts w:ascii="David" w:hAnsi="David" w:cs="David"/>
          <w:sz w:val="24"/>
          <w:szCs w:val="24"/>
          <w:rtl/>
        </w:rPr>
      </w:pPr>
    </w:p>
    <w:p w:rsidR="003F620D" w:rsidRDefault="003F620D" w:rsidP="003F620D">
      <w:pPr>
        <w:pStyle w:val="ad"/>
        <w:numPr>
          <w:ilvl w:val="1"/>
          <w:numId w:val="1"/>
        </w:numPr>
        <w:spacing w:line="360" w:lineRule="auto"/>
        <w:ind w:left="395" w:hanging="567"/>
        <w:jc w:val="both"/>
        <w:rPr>
          <w:rFonts w:ascii="David" w:hAnsi="David" w:cs="David"/>
          <w:sz w:val="24"/>
          <w:szCs w:val="24"/>
          <w:u w:val="single"/>
        </w:rPr>
      </w:pPr>
      <w:r>
        <w:rPr>
          <w:rFonts w:ascii="David" w:hAnsi="David" w:cs="David"/>
          <w:b/>
          <w:bCs/>
          <w:sz w:val="24"/>
          <w:szCs w:val="24"/>
          <w:u w:val="single"/>
          <w:rtl/>
        </w:rPr>
        <w:t>שתי השאלות העיקריות בהן יש להכריע וכן תמצית התשובות להן (תוצאת פסק הדין)</w:t>
      </w:r>
    </w:p>
    <w:p w:rsidR="003F620D" w:rsidRDefault="003F620D" w:rsidP="003F620D">
      <w:pPr>
        <w:pStyle w:val="ad"/>
        <w:spacing w:line="360" w:lineRule="auto"/>
        <w:ind w:left="395"/>
        <w:jc w:val="both"/>
        <w:rPr>
          <w:rFonts w:ascii="David" w:hAnsi="David" w:cs="David"/>
          <w:sz w:val="24"/>
          <w:szCs w:val="24"/>
        </w:rPr>
      </w:pPr>
      <w:r>
        <w:rPr>
          <w:rFonts w:ascii="David" w:hAnsi="David" w:cs="David"/>
          <w:sz w:val="24"/>
          <w:szCs w:val="24"/>
          <w:rtl/>
        </w:rPr>
        <w:t>במסגרת ההליך אכריע בשתי שאלות עיקריות, אליהן יתלוו הכרעות בטענות ונושאים נוספים שהעלו הצדדים:</w:t>
      </w:r>
    </w:p>
    <w:p w:rsidR="003F620D" w:rsidRDefault="003F620D" w:rsidP="003F620D">
      <w:pPr>
        <w:pStyle w:val="ad"/>
        <w:spacing w:line="360" w:lineRule="auto"/>
        <w:ind w:left="395"/>
        <w:jc w:val="both"/>
        <w:rPr>
          <w:rFonts w:ascii="David" w:hAnsi="David" w:cs="David"/>
          <w:sz w:val="24"/>
          <w:szCs w:val="24"/>
          <w:rtl/>
        </w:rPr>
      </w:pPr>
    </w:p>
    <w:p w:rsidR="003F620D" w:rsidRDefault="003F620D" w:rsidP="003F620D">
      <w:pPr>
        <w:pStyle w:val="ad"/>
        <w:numPr>
          <w:ilvl w:val="0"/>
          <w:numId w:val="4"/>
        </w:numPr>
        <w:spacing w:line="360" w:lineRule="auto"/>
        <w:jc w:val="both"/>
        <w:rPr>
          <w:rFonts w:ascii="David" w:hAnsi="David" w:cs="David"/>
          <w:sz w:val="24"/>
          <w:szCs w:val="24"/>
          <w:rtl/>
        </w:rPr>
      </w:pPr>
      <w:r>
        <w:rPr>
          <w:rFonts w:ascii="David" w:hAnsi="David" w:cs="David"/>
          <w:b/>
          <w:bCs/>
          <w:sz w:val="24"/>
          <w:szCs w:val="24"/>
          <w:u w:val="single"/>
          <w:rtl/>
        </w:rPr>
        <w:t>שאלה ראשונה משתיים והתשובה לה</w:t>
      </w:r>
      <w:r>
        <w:rPr>
          <w:rFonts w:ascii="David" w:hAnsi="David" w:cs="David"/>
          <w:sz w:val="24"/>
          <w:szCs w:val="24"/>
          <w:rtl/>
        </w:rPr>
        <w:t xml:space="preserve"> – האם התובעת זכאית להטבות בחיובי מכס, כאשר "מסמכי ההעדפה" שסופקו לא אומתו ולמעשה נשללו על ידי המדינה המייצאת? </w:t>
      </w:r>
      <w:r>
        <w:rPr>
          <w:rFonts w:ascii="David" w:hAnsi="David" w:cs="David"/>
          <w:sz w:val="24"/>
          <w:szCs w:val="24"/>
          <w:u w:val="single"/>
          <w:rtl/>
        </w:rPr>
        <w:t>התשובה לכך שלילית</w:t>
      </w:r>
      <w:r>
        <w:rPr>
          <w:rFonts w:ascii="David" w:hAnsi="David" w:cs="David"/>
          <w:sz w:val="24"/>
          <w:szCs w:val="24"/>
          <w:rtl/>
        </w:rPr>
        <w:t>. בהיעדר "מסמך העדפה", או כאשר המסמך הוכחש על ידי המדינה המייצאת – התובעת אינה זכאית להטבות בחיובי המכס. מכאן, יש לדחות את הדרישה לסעד ה</w:t>
      </w:r>
      <w:r w:rsidR="000B3EE1">
        <w:rPr>
          <w:rFonts w:ascii="David" w:hAnsi="David" w:cs="David" w:hint="cs"/>
          <w:sz w:val="24"/>
          <w:szCs w:val="24"/>
          <w:rtl/>
        </w:rPr>
        <w:t>ה</w:t>
      </w:r>
      <w:r>
        <w:rPr>
          <w:rFonts w:ascii="David" w:hAnsi="David" w:cs="David"/>
          <w:sz w:val="24"/>
          <w:szCs w:val="24"/>
          <w:rtl/>
        </w:rPr>
        <w:t>צהרתי לו עותרת התובעת.</w:t>
      </w:r>
    </w:p>
    <w:p w:rsidR="003F620D" w:rsidRDefault="003F620D" w:rsidP="003F620D">
      <w:pPr>
        <w:pStyle w:val="ad"/>
        <w:spacing w:line="360" w:lineRule="auto"/>
        <w:ind w:left="1115"/>
        <w:jc w:val="both"/>
        <w:rPr>
          <w:rFonts w:ascii="David" w:hAnsi="David" w:cs="David"/>
          <w:sz w:val="24"/>
          <w:szCs w:val="24"/>
        </w:rPr>
      </w:pPr>
    </w:p>
    <w:p w:rsidR="003F620D" w:rsidRDefault="003F620D" w:rsidP="003F620D">
      <w:pPr>
        <w:pStyle w:val="ad"/>
        <w:numPr>
          <w:ilvl w:val="0"/>
          <w:numId w:val="4"/>
        </w:numPr>
        <w:spacing w:line="360" w:lineRule="auto"/>
        <w:jc w:val="both"/>
        <w:rPr>
          <w:rFonts w:ascii="David" w:hAnsi="David" w:cs="David"/>
          <w:sz w:val="24"/>
          <w:szCs w:val="24"/>
        </w:rPr>
      </w:pPr>
      <w:r>
        <w:rPr>
          <w:rFonts w:ascii="David" w:hAnsi="David" w:cs="David"/>
          <w:b/>
          <w:bCs/>
          <w:sz w:val="24"/>
          <w:szCs w:val="24"/>
          <w:u w:val="single"/>
          <w:rtl/>
        </w:rPr>
        <w:t>שאלה שנייה משתיים והתשובה לה</w:t>
      </w:r>
      <w:r>
        <w:rPr>
          <w:rFonts w:ascii="David" w:hAnsi="David" w:cs="David"/>
          <w:sz w:val="24"/>
          <w:szCs w:val="24"/>
          <w:rtl/>
        </w:rPr>
        <w:t xml:space="preserve"> – ככל שייקבע שהתובעת אינה זכאית לסעד ההצהרתי המבטל את חיובי המכס, האם עדיין תהיה התובעת זכאית לפטור מתשלום הגירעון וזאת מכח סעיף 3 לחוק </w:t>
      </w:r>
      <w:r>
        <w:rPr>
          <w:rFonts w:ascii="David" w:hAnsi="David" w:cs="David"/>
          <w:sz w:val="24"/>
          <w:szCs w:val="24"/>
          <w:u w:val="single"/>
          <w:rtl/>
        </w:rPr>
        <w:t>מיסים עקיפים (מס ששולם ביתר או בחסר)</w:t>
      </w:r>
      <w:r>
        <w:rPr>
          <w:rFonts w:ascii="David" w:hAnsi="David" w:cs="David"/>
          <w:sz w:val="24"/>
          <w:szCs w:val="24"/>
          <w:rtl/>
        </w:rPr>
        <w:t xml:space="preserve">, תשכ"ח – 1968? ובמילים פשוטות – האם ניתן יהיה להשיב לתובעת הסכומים ששולמו? </w:t>
      </w:r>
    </w:p>
    <w:p w:rsidR="003F620D" w:rsidRDefault="003F620D" w:rsidP="003F620D">
      <w:pPr>
        <w:pStyle w:val="ad"/>
        <w:spacing w:line="360" w:lineRule="auto"/>
        <w:ind w:left="755"/>
        <w:jc w:val="both"/>
        <w:rPr>
          <w:rFonts w:ascii="David" w:hAnsi="David" w:cs="David"/>
          <w:sz w:val="24"/>
          <w:szCs w:val="24"/>
        </w:rPr>
      </w:pPr>
      <w:r>
        <w:rPr>
          <w:rFonts w:ascii="David" w:hAnsi="David" w:cs="David"/>
          <w:sz w:val="24"/>
          <w:szCs w:val="24"/>
          <w:u w:val="single"/>
          <w:rtl/>
        </w:rPr>
        <w:t>התשובה לכך חיובית</w:t>
      </w:r>
      <w:r>
        <w:rPr>
          <w:rFonts w:ascii="David" w:hAnsi="David" w:cs="David"/>
          <w:sz w:val="24"/>
          <w:szCs w:val="24"/>
          <w:rtl/>
        </w:rPr>
        <w:t xml:space="preserve">, ועל כך יורחב בסעיף 7 לפסק הדין. התובעת זכאית לפטור מתשלום הגרעון וממילא להשבת סכומים ששולמו ונתבעו. </w:t>
      </w:r>
      <w:r>
        <w:rPr>
          <w:rFonts w:ascii="David" w:hAnsi="David" w:cs="David"/>
          <w:sz w:val="24"/>
          <w:szCs w:val="24"/>
          <w:u w:val="single"/>
          <w:rtl/>
        </w:rPr>
        <w:t>עם זאת</w:t>
      </w:r>
      <w:r>
        <w:rPr>
          <w:rFonts w:ascii="David" w:hAnsi="David" w:cs="David"/>
          <w:sz w:val="24"/>
          <w:szCs w:val="24"/>
          <w:rtl/>
        </w:rPr>
        <w:t xml:space="preserve">, כאן ייאמר שסעד זה נתבע </w:t>
      </w:r>
      <w:r>
        <w:rPr>
          <w:rFonts w:ascii="David" w:hAnsi="David" w:cs="David"/>
          <w:sz w:val="24"/>
          <w:szCs w:val="24"/>
          <w:u w:val="single"/>
          <w:rtl/>
        </w:rPr>
        <w:t>רק</w:t>
      </w:r>
      <w:r>
        <w:rPr>
          <w:rFonts w:ascii="David" w:hAnsi="David" w:cs="David"/>
          <w:sz w:val="24"/>
          <w:szCs w:val="24"/>
          <w:rtl/>
        </w:rPr>
        <w:t xml:space="preserve"> במסגרת התביעה בת"א 8411-05-21 ומתייחס רק לסך של </w:t>
      </w:r>
      <w:r>
        <w:rPr>
          <w:rFonts w:ascii="David" w:hAnsi="David" w:cs="David"/>
          <w:b/>
          <w:bCs/>
          <w:sz w:val="24"/>
          <w:szCs w:val="24"/>
          <w:u w:val="single"/>
          <w:rtl/>
        </w:rPr>
        <w:t>141,496 ₪</w:t>
      </w:r>
      <w:r>
        <w:rPr>
          <w:rFonts w:ascii="David" w:hAnsi="David" w:cs="David"/>
          <w:sz w:val="24"/>
          <w:szCs w:val="24"/>
          <w:rtl/>
        </w:rPr>
        <w:t xml:space="preserve">. בת"א 21649-09-20, המתייחס לתשלום מכס בסך של </w:t>
      </w:r>
      <w:r>
        <w:rPr>
          <w:rFonts w:ascii="David" w:hAnsi="David" w:cs="David"/>
          <w:b/>
          <w:bCs/>
          <w:sz w:val="24"/>
          <w:szCs w:val="24"/>
          <w:u w:val="single"/>
          <w:rtl/>
        </w:rPr>
        <w:t>17,006 ₪</w:t>
      </w:r>
      <w:r>
        <w:rPr>
          <w:rFonts w:ascii="David" w:hAnsi="David" w:cs="David"/>
          <w:sz w:val="24"/>
          <w:szCs w:val="24"/>
          <w:rtl/>
        </w:rPr>
        <w:t xml:space="preserve"> לא נדרש סעד דומה מכח החוק.</w:t>
      </w:r>
    </w:p>
    <w:p w:rsidR="003F620D" w:rsidRDefault="003F620D" w:rsidP="003F620D">
      <w:pPr>
        <w:pStyle w:val="ad"/>
        <w:spacing w:line="360" w:lineRule="auto"/>
        <w:ind w:left="755"/>
        <w:jc w:val="both"/>
        <w:rPr>
          <w:rFonts w:ascii="David" w:hAnsi="David" w:cs="David"/>
          <w:sz w:val="24"/>
          <w:szCs w:val="24"/>
          <w:rtl/>
        </w:rPr>
      </w:pPr>
    </w:p>
    <w:p w:rsidR="003F620D" w:rsidRDefault="003F620D" w:rsidP="003F620D">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התייחסות בקליפת אגוז למונח "מסמך העדפה" וחשיבותו לעניינינו</w:t>
      </w:r>
    </w:p>
    <w:p w:rsidR="000B3EE1" w:rsidRPr="000B3EE1" w:rsidRDefault="000B3EE1" w:rsidP="000B3EE1">
      <w:pPr>
        <w:pStyle w:val="ad"/>
        <w:spacing w:line="360" w:lineRule="auto"/>
        <w:ind w:left="395"/>
        <w:jc w:val="both"/>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מה הוא "מסמך העדפה"? (התייחסות לצו תעריף המכס)</w:t>
      </w:r>
    </w:p>
    <w:p w:rsidR="003F620D" w:rsidRDefault="003F620D" w:rsidP="003F620D">
      <w:pPr>
        <w:pStyle w:val="ad"/>
        <w:numPr>
          <w:ilvl w:val="0"/>
          <w:numId w:val="5"/>
        </w:numPr>
        <w:spacing w:line="360" w:lineRule="auto"/>
        <w:ind w:left="820" w:hanging="425"/>
        <w:jc w:val="both"/>
        <w:rPr>
          <w:rFonts w:ascii="David" w:hAnsi="David" w:cs="David"/>
          <w:sz w:val="24"/>
          <w:szCs w:val="24"/>
        </w:rPr>
      </w:pPr>
      <w:r>
        <w:rPr>
          <w:rFonts w:ascii="David" w:hAnsi="David" w:cs="David"/>
          <w:sz w:val="24"/>
          <w:szCs w:val="24"/>
          <w:rtl/>
        </w:rPr>
        <w:t>על מנת להבהיר מה הוא "מסמך העדפה" נפנה אל סעיף 14 (ב)(1</w:t>
      </w:r>
      <w:r>
        <w:rPr>
          <w:rFonts w:ascii="David" w:hAnsi="David" w:cs="David"/>
          <w:sz w:val="24"/>
          <w:szCs w:val="24"/>
        </w:rPr>
        <w:t>(</w:t>
      </w:r>
      <w:r>
        <w:rPr>
          <w:rFonts w:ascii="David" w:hAnsi="David" w:cs="David"/>
          <w:sz w:val="24"/>
          <w:szCs w:val="24"/>
          <w:rtl/>
        </w:rPr>
        <w:t xml:space="preserve"> ל</w:t>
      </w:r>
      <w:r>
        <w:rPr>
          <w:rFonts w:ascii="David" w:hAnsi="David" w:cs="David"/>
          <w:sz w:val="24"/>
          <w:szCs w:val="24"/>
          <w:u w:val="single"/>
          <w:rtl/>
        </w:rPr>
        <w:t>צו תעריף המכס והפטורים ומס קניה על טובין</w:t>
      </w:r>
      <w:r>
        <w:rPr>
          <w:rFonts w:ascii="David" w:hAnsi="David" w:cs="David"/>
          <w:sz w:val="24"/>
          <w:szCs w:val="24"/>
          <w:rtl/>
        </w:rPr>
        <w:t xml:space="preserve">, תשע"ז - 2017 אשר מתייחס לייבוא מוצרים לישראל. הוראת סעיף זה מתייחסת לייבוא משורה ארוכה של מדינות. ביחס למדינות האיחוד האירופי, קרי המדינות הרלוונטיות להליך כאן, נקבע כי מסמך העדפה יהיה </w:t>
      </w:r>
      <w:r>
        <w:rPr>
          <w:rFonts w:ascii="David" w:hAnsi="David" w:cs="David"/>
          <w:b/>
          <w:bCs/>
          <w:sz w:val="24"/>
          <w:szCs w:val="24"/>
          <w:rtl/>
        </w:rPr>
        <w:t xml:space="preserve">"תעודת תנועה </w:t>
      </w:r>
      <w:r>
        <w:rPr>
          <w:rFonts w:ascii="David" w:hAnsi="David" w:cs="David"/>
          <w:b/>
          <w:bCs/>
          <w:sz w:val="24"/>
          <w:szCs w:val="24"/>
        </w:rPr>
        <w:t>EUR1</w:t>
      </w:r>
      <w:r>
        <w:rPr>
          <w:rFonts w:ascii="David" w:hAnsi="David" w:cs="David"/>
          <w:b/>
          <w:bCs/>
          <w:sz w:val="24"/>
          <w:szCs w:val="24"/>
          <w:rtl/>
        </w:rPr>
        <w:t>"</w:t>
      </w:r>
      <w:r>
        <w:rPr>
          <w:rFonts w:ascii="David" w:hAnsi="David" w:cs="David"/>
          <w:sz w:val="24"/>
          <w:szCs w:val="24"/>
          <w:rtl/>
        </w:rPr>
        <w:t>.</w:t>
      </w:r>
    </w:p>
    <w:p w:rsidR="003F620D" w:rsidRDefault="003F620D" w:rsidP="003F620D">
      <w:pPr>
        <w:pStyle w:val="ad"/>
        <w:rPr>
          <w:rFonts w:ascii="David" w:hAnsi="David" w:cs="David"/>
          <w:sz w:val="24"/>
          <w:szCs w:val="24"/>
        </w:rPr>
      </w:pPr>
    </w:p>
    <w:p w:rsidR="003F620D" w:rsidRDefault="003F620D" w:rsidP="003F620D">
      <w:pPr>
        <w:pStyle w:val="ad"/>
        <w:numPr>
          <w:ilvl w:val="0"/>
          <w:numId w:val="5"/>
        </w:numPr>
        <w:spacing w:line="360" w:lineRule="auto"/>
        <w:ind w:left="820" w:hanging="425"/>
        <w:jc w:val="both"/>
        <w:rPr>
          <w:rFonts w:ascii="David" w:hAnsi="David" w:cs="David"/>
          <w:sz w:val="24"/>
          <w:szCs w:val="24"/>
          <w:rtl/>
        </w:rPr>
      </w:pPr>
      <w:r>
        <w:rPr>
          <w:rFonts w:ascii="David" w:hAnsi="David" w:cs="David"/>
          <w:sz w:val="24"/>
          <w:szCs w:val="24"/>
          <w:rtl/>
        </w:rPr>
        <w:t xml:space="preserve">להשלמה ייאמר כי סעיף 14(ב) לצו תעריף המכס כולל שורה ארוכה של כללים המתייחסים הן למדינות האיחוד האירופי, הן לממלכה המאוחדת, הן לרפובליקה של טורקיה, קנדה, מקסיקו, </w:t>
      </w:r>
      <w:r>
        <w:rPr>
          <w:rFonts w:ascii="David" w:hAnsi="David" w:cs="David"/>
          <w:sz w:val="24"/>
          <w:szCs w:val="24"/>
          <w:rtl/>
        </w:rPr>
        <w:lastRenderedPageBreak/>
        <w:t xml:space="preserve">ארה"ב והן למדינות נוספות. ביחס למדינות האיחוד האירופי הרלוונטיות להליך כאן, וכן ביחס למדינות נוספות קובע סעיף 14(ב)(1) לצו תעריף המכס כך (ההדגשות לא במקור):    </w:t>
      </w:r>
    </w:p>
    <w:p w:rsidR="003F620D" w:rsidRDefault="003F620D" w:rsidP="003F620D">
      <w:pPr>
        <w:pStyle w:val="ad"/>
        <w:spacing w:line="360" w:lineRule="auto"/>
        <w:ind w:left="1670"/>
        <w:jc w:val="both"/>
        <w:rPr>
          <w:rFonts w:ascii="David" w:hAnsi="David" w:cs="David"/>
          <w:b/>
          <w:bCs/>
          <w:sz w:val="24"/>
          <w:szCs w:val="24"/>
        </w:rPr>
      </w:pPr>
      <w:r>
        <w:rPr>
          <w:rFonts w:ascii="David" w:hAnsi="David" w:cs="David"/>
          <w:b/>
          <w:bCs/>
          <w:sz w:val="24"/>
          <w:szCs w:val="24"/>
          <w:rtl/>
        </w:rPr>
        <w:t>"</w:t>
      </w:r>
      <w:r>
        <w:rPr>
          <w:rFonts w:ascii="David" w:hAnsi="David" w:cs="David"/>
          <w:b/>
          <w:bCs/>
          <w:sz w:val="24"/>
          <w:szCs w:val="24"/>
          <w:u w:val="single"/>
          <w:rtl/>
        </w:rPr>
        <w:t>מסמך העדפה מארצות האיחוד האירופי</w:t>
      </w:r>
      <w:r>
        <w:rPr>
          <w:rFonts w:ascii="David" w:hAnsi="David" w:cs="David"/>
          <w:b/>
          <w:bCs/>
          <w:sz w:val="24"/>
          <w:szCs w:val="24"/>
          <w:rtl/>
        </w:rPr>
        <w:t xml:space="preserve">, הממלכה המאוחדת, ארצות מצטרפות, ארצות אפט"א, הרפובליקה של טורקיה (להלן – טורקיה), אוקראינה והממלכה ההאשמית של ירדן (להלן – ירדן) לא יאוחר משעת התרת הצהרת היבוא שבו נרשמו מוצרים אלה; מסמך כאמור לא יתקבל לאחר תום ארבעה חדשים ממועד הנפקתו כאמור בהסכמי הסחר; </w:t>
      </w:r>
      <w:r>
        <w:rPr>
          <w:rFonts w:ascii="David" w:hAnsi="David" w:cs="David"/>
          <w:b/>
          <w:bCs/>
          <w:sz w:val="24"/>
          <w:szCs w:val="24"/>
          <w:u w:val="single"/>
          <w:rtl/>
        </w:rPr>
        <w:t xml:space="preserve">בפסקה זו, "מסמך העדפה" – תעודת תנועה </w:t>
      </w:r>
      <w:r>
        <w:rPr>
          <w:rFonts w:ascii="David" w:hAnsi="David" w:cs="David"/>
          <w:b/>
          <w:bCs/>
          <w:sz w:val="20"/>
          <w:szCs w:val="20"/>
          <w:u w:val="single"/>
        </w:rPr>
        <w:t>EUR1</w:t>
      </w:r>
      <w:r>
        <w:rPr>
          <w:rFonts w:ascii="David" w:hAnsi="David" w:cs="David"/>
          <w:b/>
          <w:bCs/>
          <w:sz w:val="20"/>
          <w:szCs w:val="20"/>
          <w:rtl/>
        </w:rPr>
        <w:t xml:space="preserve"> </w:t>
      </w:r>
      <w:r>
        <w:rPr>
          <w:rFonts w:ascii="David" w:hAnsi="David" w:cs="David"/>
          <w:b/>
          <w:bCs/>
          <w:sz w:val="24"/>
          <w:szCs w:val="24"/>
          <w:rtl/>
        </w:rPr>
        <w:t>למעט מירדן או תעודת תנועה "</w:t>
      </w:r>
      <w:r>
        <w:rPr>
          <w:rFonts w:ascii="David" w:hAnsi="David" w:cs="David"/>
          <w:b/>
          <w:bCs/>
          <w:sz w:val="20"/>
          <w:szCs w:val="20"/>
        </w:rPr>
        <w:t>EUR-MED</w:t>
      </w:r>
      <w:r>
        <w:rPr>
          <w:rFonts w:ascii="David" w:hAnsi="David" w:cs="David"/>
          <w:b/>
          <w:bCs/>
          <w:sz w:val="24"/>
          <w:szCs w:val="24"/>
          <w:rtl/>
        </w:rPr>
        <w:t>" למעט מאוקראינה, תעודת מקור שאושרה בידי לשכת המסחר והתעשיה של ירדן או חשבונית הצהרה כאמור בהסכמים"</w:t>
      </w:r>
    </w:p>
    <w:p w:rsidR="003F620D" w:rsidRDefault="003F620D" w:rsidP="003F620D">
      <w:pPr>
        <w:pStyle w:val="ad"/>
        <w:spacing w:line="360" w:lineRule="auto"/>
        <w:ind w:left="755"/>
        <w:jc w:val="both"/>
        <w:rPr>
          <w:rFonts w:ascii="David" w:hAnsi="David" w:cs="David"/>
          <w:sz w:val="24"/>
          <w:szCs w:val="24"/>
          <w:rtl/>
        </w:rPr>
      </w:pPr>
    </w:p>
    <w:p w:rsidR="003F620D" w:rsidRDefault="003F620D" w:rsidP="003F620D">
      <w:pPr>
        <w:pStyle w:val="ad"/>
        <w:spacing w:line="360" w:lineRule="auto"/>
        <w:ind w:left="820" w:hanging="685"/>
        <w:jc w:val="both"/>
        <w:rPr>
          <w:rFonts w:ascii="David" w:hAnsi="David" w:cs="David"/>
          <w:b/>
          <w:bCs/>
          <w:sz w:val="24"/>
          <w:szCs w:val="24"/>
          <w:rtl/>
        </w:rPr>
      </w:pPr>
      <w:r>
        <w:rPr>
          <w:rFonts w:ascii="David" w:hAnsi="David" w:cs="David"/>
          <w:sz w:val="24"/>
          <w:szCs w:val="24"/>
          <w:rtl/>
        </w:rPr>
        <w:tab/>
        <w:t xml:space="preserve">ושוב יודגש כי ביחס למדינות האיחוד האירופי הוגדר </w:t>
      </w:r>
      <w:r>
        <w:rPr>
          <w:rFonts w:ascii="David" w:hAnsi="David" w:cs="David"/>
          <w:b/>
          <w:bCs/>
          <w:sz w:val="24"/>
          <w:szCs w:val="24"/>
          <w:rtl/>
        </w:rPr>
        <w:t xml:space="preserve">"מסמך העדפה" </w:t>
      </w:r>
      <w:r>
        <w:rPr>
          <w:rFonts w:ascii="David" w:hAnsi="David" w:cs="David"/>
          <w:sz w:val="24"/>
          <w:szCs w:val="24"/>
          <w:rtl/>
        </w:rPr>
        <w:t xml:space="preserve">כ - </w:t>
      </w:r>
      <w:r>
        <w:rPr>
          <w:rFonts w:ascii="David" w:hAnsi="David" w:cs="David"/>
          <w:b/>
          <w:bCs/>
          <w:sz w:val="24"/>
          <w:szCs w:val="24"/>
          <w:rtl/>
        </w:rPr>
        <w:t xml:space="preserve">"תעודת תנועה </w:t>
      </w:r>
      <w:r>
        <w:rPr>
          <w:rFonts w:ascii="David" w:hAnsi="David" w:cs="David"/>
          <w:b/>
          <w:bCs/>
          <w:sz w:val="24"/>
          <w:szCs w:val="24"/>
        </w:rPr>
        <w:t>EUR1</w:t>
      </w:r>
      <w:r>
        <w:rPr>
          <w:rFonts w:ascii="David" w:hAnsi="David" w:cs="David"/>
          <w:b/>
          <w:bCs/>
          <w:sz w:val="24"/>
          <w:szCs w:val="24"/>
          <w:rtl/>
        </w:rPr>
        <w:t>".</w:t>
      </w:r>
    </w:p>
    <w:p w:rsidR="003F620D" w:rsidRDefault="003F620D" w:rsidP="003F620D">
      <w:pPr>
        <w:pStyle w:val="ad"/>
        <w:spacing w:line="360" w:lineRule="auto"/>
        <w:ind w:left="1115"/>
        <w:jc w:val="both"/>
        <w:rPr>
          <w:rFonts w:ascii="David" w:hAnsi="David" w:cs="David"/>
          <w:sz w:val="24"/>
          <w:szCs w:val="24"/>
          <w:rtl/>
        </w:rPr>
      </w:pPr>
    </w:p>
    <w:p w:rsidR="003F620D" w:rsidRDefault="003F620D" w:rsidP="00133D01">
      <w:pPr>
        <w:pStyle w:val="ad"/>
        <w:numPr>
          <w:ilvl w:val="1"/>
          <w:numId w:val="1"/>
        </w:numPr>
        <w:spacing w:line="360" w:lineRule="auto"/>
        <w:ind w:left="395" w:hanging="567"/>
        <w:jc w:val="both"/>
        <w:rPr>
          <w:rFonts w:ascii="David" w:hAnsi="David" w:cs="David"/>
          <w:sz w:val="24"/>
          <w:szCs w:val="24"/>
          <w:u w:val="single"/>
        </w:rPr>
      </w:pPr>
      <w:r>
        <w:rPr>
          <w:rFonts w:ascii="David" w:hAnsi="David" w:cs="David"/>
          <w:b/>
          <w:bCs/>
          <w:sz w:val="24"/>
          <w:szCs w:val="24"/>
          <w:u w:val="single"/>
          <w:rtl/>
        </w:rPr>
        <w:t>מה גורלו של "מסמך העדפה" שלא אומת?</w:t>
      </w:r>
      <w:r w:rsidR="00133D01">
        <w:rPr>
          <w:rFonts w:ascii="David" w:hAnsi="David" w:cs="David" w:hint="cs"/>
          <w:b/>
          <w:bCs/>
          <w:sz w:val="24"/>
          <w:szCs w:val="24"/>
          <w:u w:val="single"/>
          <w:rtl/>
        </w:rPr>
        <w:t xml:space="preserve"> </w:t>
      </w:r>
      <w:r>
        <w:rPr>
          <w:rFonts w:ascii="David" w:hAnsi="David" w:cs="David"/>
          <w:b/>
          <w:bCs/>
          <w:sz w:val="24"/>
          <w:szCs w:val="24"/>
          <w:u w:val="single"/>
          <w:rtl/>
        </w:rPr>
        <w:t>(התשובה - ביטול ההעדפה בחיובי מכס)</w:t>
      </w:r>
    </w:p>
    <w:p w:rsidR="003F620D" w:rsidRDefault="003F620D" w:rsidP="003F620D">
      <w:pPr>
        <w:pStyle w:val="ad"/>
        <w:numPr>
          <w:ilvl w:val="0"/>
          <w:numId w:val="6"/>
        </w:numPr>
        <w:spacing w:line="360" w:lineRule="auto"/>
        <w:ind w:left="820" w:hanging="425"/>
        <w:jc w:val="both"/>
        <w:rPr>
          <w:rFonts w:ascii="David" w:hAnsi="David" w:cs="David"/>
          <w:sz w:val="24"/>
          <w:szCs w:val="24"/>
          <w:u w:val="single"/>
        </w:rPr>
      </w:pPr>
      <w:r>
        <w:rPr>
          <w:rFonts w:ascii="David" w:hAnsi="David" w:cs="David"/>
          <w:sz w:val="24"/>
          <w:szCs w:val="24"/>
          <w:rtl/>
        </w:rPr>
        <w:t xml:space="preserve">התובעת המציאה "מסמכי העדפה", ואולם כאשר פנתה הנתבעת אל מדינות הייצוא - אלה </w:t>
      </w:r>
      <w:r>
        <w:rPr>
          <w:rFonts w:ascii="David" w:hAnsi="David" w:cs="David"/>
          <w:sz w:val="24"/>
          <w:szCs w:val="24"/>
          <w:u w:val="single"/>
          <w:rtl/>
        </w:rPr>
        <w:t>לא אימתו</w:t>
      </w:r>
      <w:r>
        <w:rPr>
          <w:rFonts w:ascii="David" w:hAnsi="David" w:cs="David"/>
          <w:sz w:val="24"/>
          <w:szCs w:val="24"/>
          <w:rtl/>
        </w:rPr>
        <w:t xml:space="preserve"> את מסמכי ההעדפה. מכאן – נשללה מהתובעת הטבת המס העקיף ומכאן חויבה בתשלומי מכס בגינם הוגשו התביעות.</w:t>
      </w:r>
    </w:p>
    <w:p w:rsidR="003F620D" w:rsidRDefault="003F620D" w:rsidP="003F620D">
      <w:pPr>
        <w:pStyle w:val="ad"/>
        <w:spacing w:line="360" w:lineRule="auto"/>
        <w:ind w:left="1115"/>
        <w:jc w:val="both"/>
        <w:rPr>
          <w:rFonts w:ascii="David" w:hAnsi="David" w:cs="David"/>
          <w:sz w:val="24"/>
          <w:szCs w:val="24"/>
          <w:u w:val="single"/>
        </w:rPr>
      </w:pPr>
    </w:p>
    <w:p w:rsidR="003F620D" w:rsidRDefault="003F620D" w:rsidP="003F620D">
      <w:pPr>
        <w:pStyle w:val="ad"/>
        <w:numPr>
          <w:ilvl w:val="0"/>
          <w:numId w:val="6"/>
        </w:numPr>
        <w:spacing w:line="360" w:lineRule="auto"/>
        <w:ind w:left="820" w:hanging="425"/>
        <w:jc w:val="both"/>
        <w:rPr>
          <w:rFonts w:ascii="David" w:hAnsi="David" w:cs="David"/>
          <w:sz w:val="24"/>
          <w:szCs w:val="24"/>
          <w:u w:val="single"/>
        </w:rPr>
      </w:pPr>
      <w:r>
        <w:rPr>
          <w:rFonts w:ascii="David" w:hAnsi="David" w:cs="David"/>
          <w:sz w:val="24"/>
          <w:szCs w:val="24"/>
          <w:rtl/>
        </w:rPr>
        <w:t xml:space="preserve">חשוב להדגיש שהנתבעת אינה מייחסת לתובעת, חלילה, שימוש במסמך שהתקבל שלא כדין, וכן לא מייחסת כל עבירה כזו או אחרת על הוראות החוק. כל אשר מציינת הנתבעת הוא ש"מסמכי ההעדפה" שסופקו לתובעת ואשר הוצגו עם ייבוא כלי הרכב – נשלחו לאימות במדינות הייצוא ואלה בדקו ומצאו שאין לאמתם. מכאן גם לא ניתנה ההטבה בחיוב תשלומי המכס בייבוא.  </w:t>
      </w:r>
    </w:p>
    <w:p w:rsidR="003F620D" w:rsidRDefault="003F620D" w:rsidP="003F620D">
      <w:pPr>
        <w:pStyle w:val="ad"/>
        <w:spacing w:line="360" w:lineRule="auto"/>
        <w:ind w:left="1115"/>
        <w:jc w:val="both"/>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b/>
          <w:bCs/>
          <w:sz w:val="24"/>
          <w:szCs w:val="24"/>
        </w:rPr>
      </w:pPr>
      <w:r>
        <w:rPr>
          <w:rFonts w:ascii="David" w:hAnsi="David" w:cs="David"/>
          <w:b/>
          <w:bCs/>
          <w:sz w:val="24"/>
          <w:szCs w:val="24"/>
          <w:u w:val="single"/>
          <w:rtl/>
        </w:rPr>
        <w:t>"מסמך ההעדפה" ביחס לייבוא ממדינות האיחוד האירופי</w:t>
      </w:r>
    </w:p>
    <w:p w:rsidR="003F620D" w:rsidRDefault="003F620D" w:rsidP="003F620D">
      <w:pPr>
        <w:pStyle w:val="ad"/>
        <w:numPr>
          <w:ilvl w:val="0"/>
          <w:numId w:val="7"/>
        </w:numPr>
        <w:spacing w:line="360" w:lineRule="auto"/>
        <w:jc w:val="both"/>
        <w:rPr>
          <w:rFonts w:ascii="David" w:hAnsi="David" w:cs="David"/>
          <w:sz w:val="24"/>
          <w:szCs w:val="24"/>
          <w:u w:val="single"/>
        </w:rPr>
      </w:pPr>
      <w:r>
        <w:rPr>
          <w:rFonts w:ascii="David" w:hAnsi="David" w:cs="David"/>
          <w:sz w:val="24"/>
          <w:szCs w:val="24"/>
          <w:rtl/>
        </w:rPr>
        <w:t xml:space="preserve">"מסמך ההעדפה" ביחס לייבוא ממדינות האיחוד האירופי הוגדר כאמור כ"תעודת תנועה </w:t>
      </w:r>
      <w:r>
        <w:rPr>
          <w:rFonts w:ascii="David" w:hAnsi="David" w:cs="David"/>
          <w:sz w:val="24"/>
          <w:szCs w:val="24"/>
        </w:rPr>
        <w:t>EUR1</w:t>
      </w:r>
      <w:r>
        <w:rPr>
          <w:rFonts w:ascii="David" w:hAnsi="David" w:cs="David"/>
          <w:sz w:val="24"/>
          <w:szCs w:val="24"/>
          <w:rtl/>
        </w:rPr>
        <w:t>". מסמך המונפק בארץ הייצוא.</w:t>
      </w:r>
    </w:p>
    <w:p w:rsidR="003F620D" w:rsidRDefault="003F620D" w:rsidP="003F620D">
      <w:pPr>
        <w:pStyle w:val="ad"/>
        <w:spacing w:line="360" w:lineRule="auto"/>
        <w:ind w:left="1115"/>
        <w:jc w:val="both"/>
        <w:rPr>
          <w:rFonts w:ascii="David" w:hAnsi="David" w:cs="David"/>
          <w:sz w:val="24"/>
          <w:szCs w:val="24"/>
        </w:rPr>
      </w:pPr>
    </w:p>
    <w:p w:rsidR="003F620D" w:rsidRDefault="003F620D" w:rsidP="003F620D">
      <w:pPr>
        <w:pStyle w:val="ad"/>
        <w:numPr>
          <w:ilvl w:val="0"/>
          <w:numId w:val="7"/>
        </w:numPr>
        <w:spacing w:line="360" w:lineRule="auto"/>
        <w:jc w:val="both"/>
        <w:rPr>
          <w:rFonts w:ascii="David" w:hAnsi="David" w:cs="David"/>
          <w:sz w:val="24"/>
          <w:szCs w:val="24"/>
        </w:rPr>
      </w:pPr>
      <w:r>
        <w:rPr>
          <w:rFonts w:ascii="David" w:hAnsi="David" w:cs="David"/>
          <w:sz w:val="24"/>
          <w:szCs w:val="24"/>
          <w:rtl/>
        </w:rPr>
        <w:t xml:space="preserve">ועל סמך מה מונפק "מסמך העדפה"? לענין זה הפנתה התובעת אל הסכם הסחר ולפרוטוקול מס' 4 בו הקובע כי (הציטוט הוא מפרשנות התובעת עצמה בסעיף 13.2 לכתב התביעה בת"א 8411-05-21) – </w:t>
      </w:r>
      <w:r>
        <w:rPr>
          <w:rFonts w:ascii="David" w:hAnsi="David" w:cs="David"/>
          <w:b/>
          <w:bCs/>
          <w:sz w:val="24"/>
          <w:szCs w:val="24"/>
          <w:rtl/>
        </w:rPr>
        <w:t>"כלי רכב שיוצרו בשלמותם בארצות האיחוד האירופי ייהנו מפטור מתשלום מכס בעת ייבואם לישראל אם הם כוללים לפחות 60% תשומה מקומית אירופאית"</w:t>
      </w:r>
      <w:r>
        <w:rPr>
          <w:rFonts w:ascii="David" w:hAnsi="David" w:cs="David"/>
          <w:sz w:val="24"/>
          <w:szCs w:val="24"/>
          <w:rtl/>
        </w:rPr>
        <w:t>. ובמילים פשוטות – כלי רכב שלפחות 60% מרכיביו יוצרה במדינות האיחוד האירופי – יוכל להיות זכאי לקבל "מסך העדפה".</w:t>
      </w:r>
    </w:p>
    <w:p w:rsidR="003F620D" w:rsidRDefault="003F620D" w:rsidP="003F620D">
      <w:pPr>
        <w:pStyle w:val="ad"/>
        <w:spacing w:line="360" w:lineRule="auto"/>
        <w:ind w:left="1115"/>
        <w:jc w:val="both"/>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b/>
          <w:bCs/>
          <w:sz w:val="24"/>
          <w:szCs w:val="24"/>
        </w:rPr>
      </w:pPr>
      <w:r>
        <w:rPr>
          <w:rFonts w:ascii="David" w:hAnsi="David" w:cs="David"/>
          <w:b/>
          <w:bCs/>
          <w:sz w:val="24"/>
          <w:szCs w:val="24"/>
          <w:u w:val="single"/>
          <w:rtl/>
        </w:rPr>
        <w:lastRenderedPageBreak/>
        <w:t>המורכבות שמתעוררת בהנפקת "מסמך העדפה" ביחס לרכבי ייבוא מקביל</w:t>
      </w:r>
    </w:p>
    <w:p w:rsidR="003F620D" w:rsidRDefault="003F620D" w:rsidP="003F620D">
      <w:pPr>
        <w:pStyle w:val="ad"/>
        <w:numPr>
          <w:ilvl w:val="0"/>
          <w:numId w:val="8"/>
        </w:numPr>
        <w:spacing w:line="360" w:lineRule="auto"/>
        <w:jc w:val="both"/>
        <w:rPr>
          <w:rFonts w:ascii="David" w:hAnsi="David" w:cs="David"/>
          <w:sz w:val="24"/>
          <w:szCs w:val="24"/>
        </w:rPr>
      </w:pPr>
      <w:r>
        <w:rPr>
          <w:rFonts w:ascii="David" w:hAnsi="David" w:cs="David"/>
          <w:sz w:val="24"/>
          <w:szCs w:val="24"/>
          <w:rtl/>
        </w:rPr>
        <w:t xml:space="preserve">לטענת התובעת, קיימת מורכבות בהנפקת "מסמך העדפה" לרכבי ייבוא מקביל. התובעת הרחיבה על כך שעל מנת לקבל מסמך העדפה ביחס לרכבי </w:t>
      </w:r>
      <w:r>
        <w:rPr>
          <w:rFonts w:ascii="David" w:hAnsi="David" w:cs="David"/>
          <w:sz w:val="24"/>
          <w:szCs w:val="24"/>
        </w:rPr>
        <w:t>B.M.W</w:t>
      </w:r>
      <w:r>
        <w:rPr>
          <w:rFonts w:ascii="David" w:hAnsi="David" w:cs="David"/>
          <w:sz w:val="24"/>
          <w:szCs w:val="24"/>
          <w:rtl/>
        </w:rPr>
        <w:t xml:space="preserve"> למשל, יש צורך בשיתוף פעולה של היצרן – </w:t>
      </w:r>
      <w:r>
        <w:rPr>
          <w:rFonts w:ascii="David" w:hAnsi="David" w:cs="David"/>
          <w:sz w:val="24"/>
          <w:szCs w:val="24"/>
        </w:rPr>
        <w:t>B.M.W</w:t>
      </w:r>
      <w:r>
        <w:rPr>
          <w:rFonts w:ascii="David" w:hAnsi="David" w:cs="David"/>
          <w:sz w:val="24"/>
          <w:szCs w:val="24"/>
          <w:rtl/>
        </w:rPr>
        <w:t>.</w:t>
      </w:r>
    </w:p>
    <w:p w:rsidR="003F620D" w:rsidRDefault="003F620D" w:rsidP="003F620D">
      <w:pPr>
        <w:pStyle w:val="ad"/>
        <w:spacing w:line="360" w:lineRule="auto"/>
        <w:ind w:left="1115"/>
        <w:jc w:val="both"/>
        <w:rPr>
          <w:rFonts w:ascii="David" w:hAnsi="David" w:cs="David"/>
          <w:sz w:val="24"/>
          <w:szCs w:val="24"/>
        </w:rPr>
      </w:pPr>
    </w:p>
    <w:p w:rsidR="003F620D" w:rsidRDefault="003F620D" w:rsidP="003F620D">
      <w:pPr>
        <w:pStyle w:val="ad"/>
        <w:numPr>
          <w:ilvl w:val="0"/>
          <w:numId w:val="8"/>
        </w:numPr>
        <w:spacing w:line="360" w:lineRule="auto"/>
        <w:jc w:val="both"/>
        <w:rPr>
          <w:rFonts w:ascii="David" w:hAnsi="David" w:cs="David"/>
          <w:sz w:val="24"/>
          <w:szCs w:val="24"/>
        </w:rPr>
      </w:pPr>
      <w:r>
        <w:rPr>
          <w:rFonts w:ascii="David" w:hAnsi="David" w:cs="David"/>
          <w:sz w:val="24"/>
          <w:szCs w:val="24"/>
          <w:rtl/>
        </w:rPr>
        <w:t xml:space="preserve">כאשר היצרן הוא גם היצואן – בוודאי שהוא ישתף פעולה בהנפקת המסמך. </w:t>
      </w:r>
      <w:r>
        <w:rPr>
          <w:rFonts w:ascii="David" w:hAnsi="David" w:cs="David"/>
          <w:sz w:val="24"/>
          <w:szCs w:val="24"/>
          <w:u w:val="single"/>
          <w:rtl/>
        </w:rPr>
        <w:t>ואולם</w:t>
      </w:r>
      <w:r>
        <w:rPr>
          <w:rFonts w:ascii="David" w:hAnsi="David" w:cs="David"/>
          <w:sz w:val="24"/>
          <w:szCs w:val="24"/>
          <w:rtl/>
        </w:rPr>
        <w:t xml:space="preserve"> כאשר היצרן אינו היצואן, אלא היצואן הוא גוף אחר העוסק בייבוא מקביל - אזי היצרן כלל אינו משתף פעולה ובכך לא ניתן לאמת את "מסמך ההעדפה".</w:t>
      </w:r>
      <w:r>
        <w:rPr>
          <w:rFonts w:ascii="David" w:hAnsi="David" w:cs="David"/>
          <w:sz w:val="24"/>
          <w:szCs w:val="24"/>
        </w:rPr>
        <w:t xml:space="preserve"> </w:t>
      </w:r>
      <w:r>
        <w:rPr>
          <w:rFonts w:ascii="David" w:hAnsi="David" w:cs="David"/>
          <w:sz w:val="24"/>
          <w:szCs w:val="24"/>
          <w:rtl/>
        </w:rPr>
        <w:t xml:space="preserve">וכפי שתיארה התובעת (סעיף 13 לכתב התביעה בת"א 21649-09-20) – </w:t>
      </w:r>
      <w:r>
        <w:rPr>
          <w:rFonts w:ascii="David" w:hAnsi="David" w:cs="David"/>
          <w:b/>
          <w:bCs/>
          <w:sz w:val="24"/>
          <w:szCs w:val="24"/>
          <w:rtl/>
        </w:rPr>
        <w:t>"דא עקא שליצרן הקשור בהסכמי הפצה עם יבואנים רשמיים אין כל אינטרס לסייע מטוב ליבו ליבואנים מקבילים"</w:t>
      </w:r>
      <w:r>
        <w:rPr>
          <w:rFonts w:ascii="David" w:hAnsi="David" w:cs="David"/>
          <w:sz w:val="24"/>
          <w:szCs w:val="24"/>
          <w:rtl/>
        </w:rPr>
        <w:t xml:space="preserve">. וכאשר היצרן, הקשור בהסכמים עם יבואנים רשמיים, אינו מסייע ליבואנים מקבילים הרי </w:t>
      </w:r>
      <w:r>
        <w:rPr>
          <w:rFonts w:ascii="David" w:hAnsi="David" w:cs="David"/>
          <w:b/>
          <w:bCs/>
          <w:sz w:val="24"/>
          <w:szCs w:val="24"/>
          <w:rtl/>
        </w:rPr>
        <w:t>"לא ניתן לאמת את תעודת התנועה וכפועל יוצא פוסלת הנתבעת את התעודה ומוציאה ליבואן תעודת חיוב"</w:t>
      </w:r>
      <w:r>
        <w:rPr>
          <w:rFonts w:ascii="David" w:hAnsi="David" w:cs="David"/>
          <w:sz w:val="24"/>
          <w:szCs w:val="24"/>
          <w:rtl/>
        </w:rPr>
        <w:t xml:space="preserve">.  </w:t>
      </w:r>
    </w:p>
    <w:p w:rsidR="003F620D" w:rsidRDefault="003F620D" w:rsidP="003F620D">
      <w:pPr>
        <w:pStyle w:val="ad"/>
        <w:spacing w:line="360" w:lineRule="auto"/>
        <w:ind w:left="1115"/>
        <w:jc w:val="both"/>
        <w:rPr>
          <w:rFonts w:ascii="David" w:hAnsi="David" w:cs="David"/>
          <w:b/>
          <w:bCs/>
          <w:sz w:val="24"/>
          <w:szCs w:val="24"/>
          <w:rtl/>
        </w:rPr>
      </w:pPr>
    </w:p>
    <w:p w:rsidR="003F620D" w:rsidRDefault="003F620D" w:rsidP="003F620D">
      <w:pPr>
        <w:pStyle w:val="ad"/>
        <w:spacing w:line="360" w:lineRule="auto"/>
        <w:ind w:left="-598"/>
        <w:jc w:val="both"/>
        <w:rPr>
          <w:rFonts w:ascii="David" w:hAnsi="David" w:cs="David"/>
          <w:b/>
          <w:bCs/>
          <w:sz w:val="24"/>
          <w:szCs w:val="24"/>
          <w:rtl/>
        </w:rPr>
      </w:pPr>
      <w:r>
        <w:rPr>
          <w:rFonts w:ascii="David" w:hAnsi="David" w:cs="David"/>
          <w:b/>
          <w:bCs/>
          <w:sz w:val="24"/>
          <w:szCs w:val="24"/>
          <w:rtl/>
        </w:rPr>
        <w:t>הערת מעבר – משהובהר הבסיס להגשת התביעות, יובאו בפסקאות הבאות פירוט ביחס לעדים שנשמעו וכן הרחבה ביחס לטענות הצדדים.</w:t>
      </w:r>
    </w:p>
    <w:p w:rsidR="003F620D" w:rsidRDefault="003F620D" w:rsidP="003F620D">
      <w:pPr>
        <w:pStyle w:val="ad"/>
        <w:spacing w:line="360" w:lineRule="auto"/>
        <w:ind w:left="1115"/>
        <w:jc w:val="both"/>
        <w:rPr>
          <w:rFonts w:ascii="David" w:hAnsi="David" w:cs="David"/>
          <w:sz w:val="24"/>
          <w:szCs w:val="24"/>
        </w:rPr>
      </w:pPr>
      <w:r>
        <w:rPr>
          <w:rFonts w:ascii="David" w:hAnsi="David" w:cs="David"/>
          <w:sz w:val="24"/>
          <w:szCs w:val="24"/>
          <w:rtl/>
        </w:rPr>
        <w:t xml:space="preserve"> </w:t>
      </w:r>
    </w:p>
    <w:p w:rsidR="003F620D" w:rsidRDefault="003F620D" w:rsidP="003F620D">
      <w:pPr>
        <w:pStyle w:val="ad"/>
        <w:spacing w:line="360" w:lineRule="auto"/>
        <w:ind w:left="-598"/>
        <w:jc w:val="both"/>
        <w:rPr>
          <w:rFonts w:ascii="David" w:hAnsi="David" w:cs="David"/>
          <w:sz w:val="24"/>
          <w:szCs w:val="24"/>
          <w:rtl/>
        </w:rPr>
      </w:pPr>
      <w:r>
        <w:rPr>
          <w:rFonts w:ascii="David" w:hAnsi="David" w:cs="David"/>
          <w:b/>
          <w:bCs/>
          <w:sz w:val="28"/>
          <w:szCs w:val="28"/>
          <w:u w:val="single"/>
          <w:rtl/>
        </w:rPr>
        <w:t>חלק שני – העדים שנשמעו ותמצית טענות הצדדים</w:t>
      </w:r>
    </w:p>
    <w:p w:rsidR="003F620D" w:rsidRDefault="003F620D" w:rsidP="003F620D">
      <w:pPr>
        <w:pStyle w:val="ad"/>
        <w:numPr>
          <w:ilvl w:val="0"/>
          <w:numId w:val="1"/>
        </w:numPr>
        <w:spacing w:line="360" w:lineRule="auto"/>
        <w:ind w:left="-172" w:hanging="284"/>
        <w:jc w:val="both"/>
        <w:rPr>
          <w:rFonts w:ascii="David" w:hAnsi="David" w:cs="David"/>
          <w:sz w:val="24"/>
          <w:szCs w:val="24"/>
          <w:u w:val="single"/>
        </w:rPr>
      </w:pPr>
      <w:r>
        <w:rPr>
          <w:rFonts w:ascii="David" w:hAnsi="David" w:cs="David"/>
          <w:b/>
          <w:bCs/>
          <w:sz w:val="24"/>
          <w:szCs w:val="24"/>
          <w:u w:val="single"/>
          <w:rtl/>
        </w:rPr>
        <w:t>העדויות שנשמעו - ארבעת העדים מטעם התובעת והעדה מטעם הנתבעת</w:t>
      </w:r>
    </w:p>
    <w:p w:rsidR="003F620D" w:rsidRDefault="003F620D" w:rsidP="003F620D">
      <w:pPr>
        <w:pStyle w:val="ad"/>
        <w:spacing w:line="360" w:lineRule="auto"/>
        <w:ind w:left="-172"/>
        <w:jc w:val="both"/>
        <w:rPr>
          <w:rFonts w:ascii="David" w:hAnsi="David" w:cs="David"/>
          <w:sz w:val="24"/>
          <w:szCs w:val="24"/>
        </w:rPr>
      </w:pPr>
      <w:r>
        <w:rPr>
          <w:rFonts w:ascii="David" w:hAnsi="David" w:cs="David"/>
          <w:sz w:val="24"/>
          <w:szCs w:val="24"/>
          <w:rtl/>
        </w:rPr>
        <w:t>במסגרת ההליך נשמעו חמש עדויות, כמפורט להלן:</w:t>
      </w:r>
    </w:p>
    <w:p w:rsidR="003F620D" w:rsidRDefault="003F620D" w:rsidP="003F620D">
      <w:pPr>
        <w:pStyle w:val="ad"/>
        <w:spacing w:line="360" w:lineRule="auto"/>
        <w:ind w:left="-172"/>
        <w:jc w:val="both"/>
        <w:rPr>
          <w:rFonts w:ascii="David" w:hAnsi="David" w:cs="David"/>
          <w:sz w:val="24"/>
          <w:szCs w:val="24"/>
          <w:rtl/>
        </w:rPr>
      </w:pPr>
    </w:p>
    <w:p w:rsidR="003F620D" w:rsidRDefault="003F620D" w:rsidP="003F620D">
      <w:pPr>
        <w:pStyle w:val="ad"/>
        <w:numPr>
          <w:ilvl w:val="0"/>
          <w:numId w:val="9"/>
        </w:numPr>
        <w:spacing w:line="360" w:lineRule="auto"/>
        <w:jc w:val="both"/>
        <w:rPr>
          <w:rFonts w:ascii="David" w:hAnsi="David" w:cs="David"/>
          <w:sz w:val="24"/>
          <w:szCs w:val="24"/>
          <w:rtl/>
        </w:rPr>
      </w:pPr>
      <w:r>
        <w:rPr>
          <w:rFonts w:ascii="David" w:hAnsi="David" w:cs="David"/>
          <w:sz w:val="24"/>
          <w:szCs w:val="24"/>
          <w:u w:val="single"/>
          <w:rtl/>
        </w:rPr>
        <w:t>מטעם התובעת העידו ארבעה</w:t>
      </w:r>
      <w:r>
        <w:rPr>
          <w:rFonts w:ascii="David" w:hAnsi="David" w:cs="David"/>
          <w:sz w:val="24"/>
          <w:szCs w:val="24"/>
          <w:rtl/>
        </w:rPr>
        <w:t xml:space="preserve"> – מר איציק סמארנו - בעל המניות ומנהל התובעת; מהנדס המכונות מקסים טבל - מומחה שהגיש חוות דעת; מר יוחאי שנער - מומחה נוסף שהגיש חוות דעת בעניין התכולה האירופאית ברכבי ב.מ.וו שיובאו על ידי התובעת; עוד זומנה לעדות גב' חנה מלכה – עובדת בית המכס בעיר אשדוד אשר היתה אחראית בשנים הרלוונטיות לייבוא אישי לכלי רכב לישראל.</w:t>
      </w:r>
    </w:p>
    <w:p w:rsidR="003F620D" w:rsidRDefault="003F620D" w:rsidP="003F620D">
      <w:pPr>
        <w:pStyle w:val="ad"/>
        <w:spacing w:line="360" w:lineRule="auto"/>
        <w:ind w:left="395"/>
        <w:jc w:val="both"/>
        <w:rPr>
          <w:rFonts w:ascii="David" w:hAnsi="David" w:cs="David"/>
          <w:sz w:val="24"/>
          <w:szCs w:val="24"/>
        </w:rPr>
      </w:pPr>
    </w:p>
    <w:p w:rsidR="003F620D" w:rsidRDefault="003F620D" w:rsidP="003F620D">
      <w:pPr>
        <w:pStyle w:val="ad"/>
        <w:numPr>
          <w:ilvl w:val="0"/>
          <w:numId w:val="9"/>
        </w:numPr>
        <w:spacing w:line="360" w:lineRule="auto"/>
        <w:jc w:val="both"/>
        <w:rPr>
          <w:rFonts w:ascii="David" w:hAnsi="David" w:cs="David"/>
          <w:sz w:val="24"/>
          <w:szCs w:val="24"/>
        </w:rPr>
      </w:pPr>
      <w:r>
        <w:rPr>
          <w:rFonts w:ascii="David" w:hAnsi="David" w:cs="David"/>
          <w:sz w:val="24"/>
          <w:szCs w:val="24"/>
          <w:u w:val="single"/>
          <w:rtl/>
        </w:rPr>
        <w:t>העדה מטעם הנתבעת</w:t>
      </w:r>
      <w:r>
        <w:rPr>
          <w:rFonts w:ascii="David" w:hAnsi="David" w:cs="David"/>
          <w:sz w:val="24"/>
          <w:szCs w:val="24"/>
          <w:rtl/>
        </w:rPr>
        <w:t xml:space="preserve"> – מטעם הנתבעת העידה </w:t>
      </w:r>
      <w:r w:rsidR="000B3EE1">
        <w:rPr>
          <w:rFonts w:ascii="David" w:hAnsi="David" w:cs="David" w:hint="cs"/>
          <w:sz w:val="24"/>
          <w:szCs w:val="24"/>
          <w:rtl/>
        </w:rPr>
        <w:t>'</w:t>
      </w:r>
      <w:r>
        <w:rPr>
          <w:rFonts w:ascii="David" w:hAnsi="David" w:cs="David"/>
          <w:sz w:val="24"/>
          <w:szCs w:val="24"/>
          <w:rtl/>
        </w:rPr>
        <w:t>מנהלת תחום בכירה ייצוא וכללי מקור בהנהלת המכס</w:t>
      </w:r>
      <w:r w:rsidR="000B3EE1">
        <w:rPr>
          <w:rFonts w:ascii="David" w:hAnsi="David" w:cs="David" w:hint="cs"/>
          <w:sz w:val="24"/>
          <w:szCs w:val="24"/>
          <w:rtl/>
        </w:rPr>
        <w:t>'</w:t>
      </w:r>
      <w:r>
        <w:rPr>
          <w:rFonts w:ascii="David" w:hAnsi="David" w:cs="David"/>
          <w:sz w:val="24"/>
          <w:szCs w:val="24"/>
          <w:rtl/>
        </w:rPr>
        <w:t xml:space="preserve"> – גב' שרה ביטון. </w:t>
      </w:r>
    </w:p>
    <w:p w:rsidR="003F620D" w:rsidRDefault="003F620D" w:rsidP="003F620D">
      <w:pPr>
        <w:pStyle w:val="ad"/>
        <w:spacing w:line="360" w:lineRule="auto"/>
        <w:ind w:left="755"/>
        <w:jc w:val="both"/>
        <w:rPr>
          <w:rFonts w:ascii="David" w:hAnsi="David" w:cs="David"/>
          <w:sz w:val="24"/>
          <w:szCs w:val="24"/>
          <w:rtl/>
        </w:rPr>
      </w:pPr>
    </w:p>
    <w:p w:rsidR="003F620D" w:rsidRDefault="003F620D" w:rsidP="003F620D">
      <w:pPr>
        <w:pStyle w:val="ad"/>
        <w:numPr>
          <w:ilvl w:val="0"/>
          <w:numId w:val="1"/>
        </w:numPr>
        <w:spacing w:line="360" w:lineRule="auto"/>
        <w:ind w:left="-172" w:hanging="284"/>
        <w:jc w:val="both"/>
        <w:rPr>
          <w:rFonts w:ascii="David" w:hAnsi="David" w:cs="David"/>
          <w:sz w:val="24"/>
          <w:szCs w:val="24"/>
          <w:u w:val="single"/>
        </w:rPr>
      </w:pPr>
      <w:r>
        <w:rPr>
          <w:rFonts w:ascii="David" w:hAnsi="David" w:cs="David"/>
          <w:b/>
          <w:bCs/>
          <w:sz w:val="24"/>
          <w:szCs w:val="24"/>
          <w:u w:val="single"/>
          <w:rtl/>
        </w:rPr>
        <w:t>תמצית טענות התובעת</w:t>
      </w:r>
    </w:p>
    <w:p w:rsidR="003F620D" w:rsidRDefault="003F620D" w:rsidP="003F620D">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התובעת ציינה כי היא עוסקת ביבוא של כלי רכב לישראל בהתאם לרישיון יבואן זעיר שניתן לה על ידי משרד התחבורה. בהתאם לרישיון זה היא רשאית לייבא ארצה עד 20 כלי רכב חדשים או משומשים לישראל, כאשר היבוא אינו מותנה בהתקשרות חוזית מול יצרן הרכב.</w:t>
      </w:r>
    </w:p>
    <w:p w:rsidR="003F620D" w:rsidRDefault="003F620D" w:rsidP="003F620D">
      <w:pPr>
        <w:pStyle w:val="ad"/>
        <w:spacing w:line="360" w:lineRule="auto"/>
        <w:ind w:left="1440"/>
        <w:jc w:val="both"/>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התובעת ייבאה מספר דגמים של כלי רכב משומשים מתוצרת </w:t>
      </w:r>
      <w:r>
        <w:rPr>
          <w:rFonts w:ascii="David" w:hAnsi="David" w:cs="David"/>
          <w:sz w:val="24"/>
          <w:szCs w:val="24"/>
        </w:rPr>
        <w:t>BMW</w:t>
      </w:r>
      <w:r>
        <w:rPr>
          <w:rFonts w:ascii="David" w:hAnsi="David" w:cs="David"/>
          <w:sz w:val="24"/>
          <w:szCs w:val="24"/>
          <w:rtl/>
        </w:rPr>
        <w:t xml:space="preserve"> </w:t>
      </w:r>
      <w:r>
        <w:rPr>
          <w:rFonts w:ascii="David" w:hAnsi="David" w:cs="David" w:hint="cs"/>
          <w:sz w:val="24"/>
          <w:szCs w:val="24"/>
          <w:rtl/>
        </w:rPr>
        <w:t xml:space="preserve">אשר יוצרו במפעל היצרן שבגרמניה, ויובאו לישראל דרך שוודיה. כלי הרכב לוו ב"מסמכי העדפה". הנתבעת, מצידה, לא הסתפקה ב"מסמכי ההעדפה" שהוגשו אלא ביקשה לאמת אותם מול רשויות המכס במדינת היצוא. </w:t>
      </w:r>
      <w:r>
        <w:rPr>
          <w:rFonts w:ascii="David" w:hAnsi="David" w:cs="David" w:hint="cs"/>
          <w:sz w:val="24"/>
          <w:szCs w:val="24"/>
          <w:rtl/>
        </w:rPr>
        <w:lastRenderedPageBreak/>
        <w:t>בעקבות האימות אשר שלל את תוקפו של מסמך ההעדפה, הוציאה הנתבעת לתובעת הודעות חיוב. התובעת הדגישה כי כל הודעות החיוב שולמו על ידה  "אגב מחאה".</w:t>
      </w:r>
    </w:p>
    <w:p w:rsidR="003F620D" w:rsidRDefault="003F620D" w:rsidP="003F620D">
      <w:pPr>
        <w:pStyle w:val="ad"/>
        <w:rPr>
          <w:rFonts w:ascii="David" w:hAnsi="David" w:cs="David"/>
          <w:sz w:val="24"/>
          <w:szCs w:val="24"/>
        </w:rPr>
      </w:pPr>
    </w:p>
    <w:p w:rsidR="003F620D" w:rsidRDefault="003F620D" w:rsidP="000B3EE1">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התובעת טענה שהנתבעת חייבה אותה שלא כדין. לענין זה מפנה התובעת ל</w:t>
      </w:r>
      <w:r>
        <w:rPr>
          <w:rFonts w:ascii="David" w:hAnsi="David" w:cs="David"/>
          <w:sz w:val="24"/>
          <w:szCs w:val="24"/>
          <w:u w:val="single"/>
          <w:rtl/>
        </w:rPr>
        <w:t>הסכם הסחר האירופי – ים תיכוני לכינון התאגדות בין מדינת ישראל ובין הקהילה האירופית והמדינות החברות בהן</w:t>
      </w:r>
      <w:r>
        <w:rPr>
          <w:rFonts w:ascii="David" w:hAnsi="David" w:cs="David"/>
          <w:sz w:val="24"/>
          <w:szCs w:val="24"/>
          <w:rtl/>
        </w:rPr>
        <w:t xml:space="preserve">, כ"א 1304, כרך 44 (לעיל ולהלן: </w:t>
      </w:r>
      <w:r>
        <w:rPr>
          <w:rFonts w:ascii="David" w:hAnsi="David" w:cs="David"/>
          <w:b/>
          <w:bCs/>
          <w:sz w:val="24"/>
          <w:szCs w:val="24"/>
          <w:rtl/>
        </w:rPr>
        <w:t>"הסכם הסחר"</w:t>
      </w:r>
      <w:r>
        <w:rPr>
          <w:rFonts w:ascii="David" w:hAnsi="David" w:cs="David"/>
          <w:sz w:val="24"/>
          <w:szCs w:val="24"/>
          <w:rtl/>
        </w:rPr>
        <w:t>). הסכם הסחר נחתם ביום 20/11/1995 והתובעת הפנתה לכך שמטרתו היא עידוד הסחר החופשי בין מדינת ישראל לבין מדינות האיחוד האירופי. בהתאם להוראות ההסכם</w:t>
      </w:r>
      <w:r w:rsidR="000B3EE1">
        <w:rPr>
          <w:rFonts w:ascii="David" w:hAnsi="David" w:cs="David" w:hint="cs"/>
          <w:sz w:val="24"/>
          <w:szCs w:val="24"/>
          <w:rtl/>
        </w:rPr>
        <w:t>,</w:t>
      </w:r>
      <w:r>
        <w:rPr>
          <w:rFonts w:ascii="David" w:hAnsi="David" w:cs="David"/>
          <w:sz w:val="24"/>
          <w:szCs w:val="24"/>
          <w:rtl/>
        </w:rPr>
        <w:t xml:space="preserve"> טובין העומדים בכללי המקור יהיו זכאים להעדפת מכס של פטור מלא או הפחתה בשיעורי המכס. ביחס לכלי רכב הוסכם כי כלי רכב שיוצרו בשלמותם בארצות האיחוד האירופי ייהנו מפטור מתשלום מכס אם הם כוללים לפחות 60% תשומה מקומית אירופאית.</w:t>
      </w:r>
    </w:p>
    <w:p w:rsidR="003F620D" w:rsidRDefault="003F620D" w:rsidP="003F620D">
      <w:pPr>
        <w:pStyle w:val="ad"/>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התובעת הפנתה אף אל </w:t>
      </w:r>
      <w:r>
        <w:rPr>
          <w:rFonts w:ascii="David" w:hAnsi="David" w:cs="David"/>
          <w:sz w:val="24"/>
          <w:szCs w:val="24"/>
          <w:u w:val="single"/>
          <w:rtl/>
        </w:rPr>
        <w:t>צו תעריף המכס והפטורים ומס קניה על טובין</w:t>
      </w:r>
      <w:r>
        <w:rPr>
          <w:rFonts w:ascii="David" w:hAnsi="David" w:cs="David"/>
          <w:sz w:val="24"/>
          <w:szCs w:val="24"/>
          <w:rtl/>
        </w:rPr>
        <w:t xml:space="preserve">, תשע"ד – 2014 אשר קובע בסעיף 14 (א) כי </w:t>
      </w:r>
      <w:r>
        <w:rPr>
          <w:rFonts w:ascii="David" w:hAnsi="David" w:cs="David"/>
          <w:b/>
          <w:bCs/>
          <w:sz w:val="24"/>
          <w:szCs w:val="24"/>
          <w:rtl/>
        </w:rPr>
        <w:t>"על טובין שסיווגם באחד הפרקים 1-97 , שחל עליהם הסכם סחר, יחולו ההוראות המפורטות בסעיפים 16-23 , בכפוף לזכאות להעדפה בשיעורי מכס לגבי הטובין, לפי הוראות הסכם הסחר הנוגע"</w:t>
      </w:r>
      <w:r>
        <w:rPr>
          <w:rFonts w:ascii="David" w:hAnsi="David" w:cs="David"/>
          <w:sz w:val="24"/>
          <w:szCs w:val="24"/>
          <w:rtl/>
        </w:rPr>
        <w:t xml:space="preserve">. סעיף 14 (ב) לצו קובע כי טובין שחל עליהם הסכם הסחר או הצהרת חשבונית מטעם ספק </w:t>
      </w:r>
      <w:r>
        <w:rPr>
          <w:rFonts w:ascii="David" w:hAnsi="David" w:cs="David"/>
          <w:sz w:val="24"/>
          <w:szCs w:val="24"/>
        </w:rPr>
        <w:t>EUR-1</w:t>
      </w:r>
      <w:r>
        <w:rPr>
          <w:rFonts w:ascii="David" w:hAnsi="David" w:cs="David"/>
          <w:sz w:val="24"/>
          <w:szCs w:val="24"/>
          <w:rtl/>
        </w:rPr>
        <w:t xml:space="preserve"> יהיו פטורים ממכס אם צורפה להם תעודת תנועה המוכר כ"יצואן מאושר".</w:t>
      </w:r>
    </w:p>
    <w:p w:rsidR="003F620D" w:rsidRDefault="003F620D" w:rsidP="003F620D">
      <w:pPr>
        <w:pStyle w:val="ad"/>
        <w:spacing w:line="360" w:lineRule="auto"/>
        <w:ind w:left="395"/>
        <w:jc w:val="both"/>
        <w:rPr>
          <w:rFonts w:ascii="David" w:hAnsi="David" w:cs="David"/>
          <w:sz w:val="24"/>
          <w:szCs w:val="24"/>
        </w:rPr>
      </w:pPr>
      <w:r>
        <w:rPr>
          <w:rFonts w:ascii="David" w:hAnsi="David" w:cs="David"/>
          <w:sz w:val="24"/>
          <w:szCs w:val="24"/>
          <w:rtl/>
        </w:rPr>
        <w:t xml:space="preserve">מכאן, לטעמה של התובעת, טובין העומדים בכללי המקור המפורטים בפרוטוקול מס' 4 ואשר מלווים בתעודת תנועה או בהצהרת חשבונית – הם טובין הזכאים להעדפת מכס ביבוא. </w:t>
      </w:r>
    </w:p>
    <w:p w:rsidR="003F620D" w:rsidRDefault="003F620D" w:rsidP="003F620D">
      <w:pPr>
        <w:pStyle w:val="ad"/>
        <w:spacing w:line="360" w:lineRule="auto"/>
        <w:ind w:left="395"/>
        <w:jc w:val="both"/>
        <w:rPr>
          <w:rFonts w:ascii="David" w:hAnsi="David" w:cs="David"/>
          <w:sz w:val="24"/>
          <w:szCs w:val="24"/>
          <w:rtl/>
        </w:rPr>
      </w:pPr>
      <w:r>
        <w:rPr>
          <w:rFonts w:ascii="David" w:hAnsi="David" w:cs="David"/>
          <w:sz w:val="24"/>
          <w:szCs w:val="24"/>
          <w:rtl/>
        </w:rPr>
        <w:t xml:space="preserve">התובעת אף הדגישה שכלי רכב דומים מתוצרת </w:t>
      </w:r>
      <w:r>
        <w:rPr>
          <w:rFonts w:ascii="David" w:hAnsi="David" w:cs="David"/>
          <w:sz w:val="24"/>
          <w:szCs w:val="24"/>
        </w:rPr>
        <w:t>BMW</w:t>
      </w:r>
      <w:r>
        <w:rPr>
          <w:rFonts w:ascii="David" w:hAnsi="David" w:cs="David"/>
          <w:sz w:val="24"/>
          <w:szCs w:val="24"/>
          <w:rtl/>
        </w:rPr>
        <w:t xml:space="preserve"> </w:t>
      </w:r>
      <w:r>
        <w:rPr>
          <w:rFonts w:ascii="David" w:hAnsi="David" w:cs="David" w:hint="cs"/>
          <w:sz w:val="24"/>
          <w:szCs w:val="24"/>
          <w:rtl/>
        </w:rPr>
        <w:t>אשר מיובאים על ידי היבואנית הרשמית - חברת דלק מוטורס בע"מ ולא בייבוא מקביל - מלווים בתעודת תנועה או הצהרת חשבונית ומקבלים פטור מלא מתשלום מכס.</w:t>
      </w:r>
    </w:p>
    <w:p w:rsidR="003F620D" w:rsidRDefault="003F620D" w:rsidP="003F620D">
      <w:pPr>
        <w:pStyle w:val="ad"/>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התובעת התייחסה אף לנוהלי הנהוג. לדבריה - סעיף 25 לפרוטוקול מס' 4 להסכם הסחר קובע, כי את הוכחות המקור יש להגיש לרשויות המכס של המדינה המייבאת בהתאם לנהלים הפנימיים במדינה המייבאת. בעניינינו - הנהלים הפנימיים של מדינת ישראל קובעים כי כלי רכב משומשים המיוצרים באירופה ומיובאים לישראל יהיו זכאים להעדפת מכס וזאת </w:t>
      </w:r>
      <w:r>
        <w:rPr>
          <w:rFonts w:ascii="David" w:hAnsi="David" w:cs="David"/>
          <w:sz w:val="24"/>
          <w:szCs w:val="24"/>
          <w:u w:val="single"/>
          <w:rtl/>
        </w:rPr>
        <w:t>אף מבלי</w:t>
      </w:r>
      <w:r>
        <w:rPr>
          <w:rFonts w:ascii="David" w:hAnsi="David" w:cs="David"/>
          <w:sz w:val="24"/>
          <w:szCs w:val="24"/>
          <w:rtl/>
        </w:rPr>
        <w:t xml:space="preserve"> שיוצג לגביהם מסמך העדפה, דהיינו תעודת תנועה  </w:t>
      </w:r>
      <w:r>
        <w:rPr>
          <w:rFonts w:ascii="David" w:hAnsi="David" w:cs="David"/>
          <w:sz w:val="24"/>
          <w:szCs w:val="24"/>
        </w:rPr>
        <w:t>EUR-1</w:t>
      </w:r>
      <w:r>
        <w:rPr>
          <w:rFonts w:ascii="David" w:hAnsi="David" w:cs="David"/>
          <w:sz w:val="24"/>
          <w:szCs w:val="24"/>
          <w:rtl/>
        </w:rPr>
        <w:t xml:space="preserve"> </w:t>
      </w:r>
      <w:r>
        <w:rPr>
          <w:rFonts w:ascii="David" w:hAnsi="David" w:cs="David" w:hint="cs"/>
          <w:sz w:val="24"/>
          <w:szCs w:val="24"/>
          <w:rtl/>
        </w:rPr>
        <w:t>הנ"ל.</w:t>
      </w:r>
    </w:p>
    <w:p w:rsidR="003F620D" w:rsidRDefault="003F620D" w:rsidP="003F620D">
      <w:pPr>
        <w:pStyle w:val="ad"/>
        <w:spacing w:line="360" w:lineRule="auto"/>
        <w:ind w:left="395"/>
        <w:jc w:val="both"/>
        <w:rPr>
          <w:rFonts w:ascii="David" w:hAnsi="David" w:cs="David"/>
          <w:sz w:val="24"/>
          <w:szCs w:val="24"/>
        </w:rPr>
      </w:pPr>
      <w:r>
        <w:rPr>
          <w:rFonts w:ascii="David" w:hAnsi="David" w:cs="David"/>
          <w:sz w:val="24"/>
          <w:szCs w:val="24"/>
          <w:rtl/>
        </w:rPr>
        <w:t xml:space="preserve">לטענת התובעת - הנתבעת פועלת בניגוד לנהליה שלה, ובעת היבוא היא דורשת כי כלי הרכב יהיו מלווים בתעודת </w:t>
      </w:r>
      <w:r>
        <w:rPr>
          <w:rFonts w:ascii="David" w:hAnsi="David" w:cs="David"/>
          <w:sz w:val="24"/>
          <w:szCs w:val="24"/>
        </w:rPr>
        <w:t>EUR-1</w:t>
      </w:r>
      <w:r>
        <w:rPr>
          <w:rFonts w:ascii="David" w:hAnsi="David" w:cs="David"/>
          <w:sz w:val="24"/>
          <w:szCs w:val="24"/>
          <w:rtl/>
        </w:rPr>
        <w:t xml:space="preserve">, למרות שמדובר בייבוא כלי רכב </w:t>
      </w:r>
      <w:r>
        <w:rPr>
          <w:rFonts w:ascii="David" w:hAnsi="David" w:cs="David"/>
          <w:sz w:val="24"/>
          <w:szCs w:val="24"/>
          <w:u w:val="single"/>
          <w:rtl/>
        </w:rPr>
        <w:t>משומשים</w:t>
      </w:r>
      <w:r>
        <w:rPr>
          <w:rFonts w:ascii="David" w:hAnsi="David" w:cs="David"/>
          <w:sz w:val="24"/>
          <w:szCs w:val="24"/>
          <w:rtl/>
        </w:rPr>
        <w:t xml:space="preserve">. בהמשך אף הגדילה הנתבעת, כאמור בכתבי התביעה, וחרגה מהסמכות המוקנית לה במסגרת הסכם הסחר בכך שפנתה לרשויות המכס במדינת היצוא. התובעת טענה שסעיף 33(1) לפרוטוקול 4 להסכם הסחר מסמיך את רשות המכס במדינת היבוא לבצע אימות של תעודת התנועה רק </w:t>
      </w:r>
      <w:r>
        <w:rPr>
          <w:rFonts w:ascii="David" w:hAnsi="David" w:cs="David"/>
          <w:sz w:val="24"/>
          <w:szCs w:val="24"/>
          <w:u w:val="single"/>
          <w:rtl/>
        </w:rPr>
        <w:t>באקראי, או בנסיבות בהן מתעוררים בליבו ספקות ממשיים בדבר האותנטיות של תעודות התנועה</w:t>
      </w:r>
      <w:r>
        <w:rPr>
          <w:rFonts w:ascii="David" w:hAnsi="David" w:cs="David"/>
          <w:sz w:val="24"/>
          <w:szCs w:val="24"/>
          <w:rtl/>
        </w:rPr>
        <w:t xml:space="preserve">. כך לא נעשה, ולטעמה של התובעת מדובר בהתנכלות או בניסיון להתערב בצורה לא הוגנת בתחרות. כאן ציינה התובעת כי  אחת ממטרותיו המרכזיות המוצהרות של </w:t>
      </w:r>
      <w:r w:rsidRPr="000B3EE1">
        <w:rPr>
          <w:rFonts w:ascii="David" w:hAnsi="David" w:cs="David"/>
          <w:sz w:val="24"/>
          <w:szCs w:val="24"/>
          <w:u w:val="single"/>
          <w:rtl/>
        </w:rPr>
        <w:t>חוק רישוי שירותים ומקצועות בענף הרכב</w:t>
      </w:r>
      <w:r>
        <w:rPr>
          <w:rFonts w:ascii="David" w:hAnsi="David" w:cs="David"/>
          <w:sz w:val="24"/>
          <w:szCs w:val="24"/>
          <w:rtl/>
        </w:rPr>
        <w:t>, תשע"ו – 2</w:t>
      </w:r>
      <w:r w:rsidR="000B3EE1">
        <w:rPr>
          <w:rFonts w:ascii="David" w:hAnsi="David" w:cs="David"/>
          <w:sz w:val="24"/>
          <w:szCs w:val="24"/>
          <w:rtl/>
        </w:rPr>
        <w:t xml:space="preserve">016 </w:t>
      </w:r>
      <w:r>
        <w:rPr>
          <w:rFonts w:ascii="David" w:hAnsi="David" w:cs="David"/>
          <w:sz w:val="24"/>
          <w:szCs w:val="24"/>
          <w:rtl/>
        </w:rPr>
        <w:t xml:space="preserve"> </w:t>
      </w:r>
      <w:r>
        <w:rPr>
          <w:rFonts w:ascii="David" w:hAnsi="David" w:cs="David"/>
          <w:sz w:val="24"/>
          <w:szCs w:val="24"/>
          <w:rtl/>
        </w:rPr>
        <w:lastRenderedPageBreak/>
        <w:t>אשר פתח את שוק הרכב ליבואנים שאינם יבואנים רשמיים (דהיינו כאלה שאינם קשורים בהסכמי בלעדיות עם היצרנים) היא לקדם את התחרות בענף הרכב, לרווחת הצרכן הישראלי.</w:t>
      </w:r>
    </w:p>
    <w:p w:rsidR="003F620D" w:rsidRDefault="003F620D" w:rsidP="003F620D">
      <w:pPr>
        <w:pStyle w:val="ad"/>
        <w:spacing w:line="360" w:lineRule="auto"/>
        <w:ind w:left="1080"/>
        <w:jc w:val="both"/>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התובעת הפנתה לכך שמספרי השלדה של כלי הרכב שיובאו על ידה לאלו של היבואן הישיר מובילה למסקנה שכלי הרכב שיובאו על ידה זהים לכלי הרכב המיובאים על ידי היבואן הישיר, חברת דלק מוטורס בע"מ, הזוכים להעדפת מכס לנוכח היותם מוצרים העומדים בכללי המקור שבהסכם הסחר. מכאן סבורה התובעת כי לא</w:t>
      </w:r>
      <w:r>
        <w:rPr>
          <w:rFonts w:ascii="David" w:hAnsi="David" w:cs="David"/>
          <w:sz w:val="24"/>
          <w:szCs w:val="24"/>
        </w:rPr>
        <w:t xml:space="preserve"> </w:t>
      </w:r>
      <w:r>
        <w:rPr>
          <w:rFonts w:ascii="David" w:hAnsi="David" w:cs="David"/>
          <w:sz w:val="24"/>
          <w:szCs w:val="24"/>
          <w:rtl/>
        </w:rPr>
        <w:t>יכול</w:t>
      </w:r>
      <w:r>
        <w:rPr>
          <w:rFonts w:ascii="David" w:hAnsi="David" w:cs="David"/>
          <w:sz w:val="24"/>
          <w:szCs w:val="24"/>
        </w:rPr>
        <w:t xml:space="preserve"> </w:t>
      </w:r>
      <w:r>
        <w:rPr>
          <w:rFonts w:ascii="David" w:hAnsi="David" w:cs="David"/>
          <w:sz w:val="24"/>
          <w:szCs w:val="24"/>
          <w:rtl/>
        </w:rPr>
        <w:t>היה</w:t>
      </w:r>
      <w:r>
        <w:rPr>
          <w:rFonts w:ascii="David" w:hAnsi="David" w:cs="David"/>
          <w:sz w:val="24"/>
          <w:szCs w:val="24"/>
        </w:rPr>
        <w:t xml:space="preserve"> </w:t>
      </w:r>
      <w:r>
        <w:rPr>
          <w:rFonts w:ascii="David" w:hAnsi="David" w:cs="David"/>
          <w:sz w:val="24"/>
          <w:szCs w:val="24"/>
          <w:rtl/>
        </w:rPr>
        <w:t>להיות</w:t>
      </w:r>
      <w:r>
        <w:rPr>
          <w:rFonts w:ascii="David" w:hAnsi="David" w:cs="David"/>
          <w:sz w:val="24"/>
          <w:szCs w:val="24"/>
        </w:rPr>
        <w:t xml:space="preserve"> </w:t>
      </w:r>
      <w:r>
        <w:rPr>
          <w:rFonts w:ascii="David" w:hAnsi="David" w:cs="David"/>
          <w:sz w:val="24"/>
          <w:szCs w:val="24"/>
          <w:rtl/>
        </w:rPr>
        <w:t>בלבה</w:t>
      </w:r>
      <w:r>
        <w:rPr>
          <w:rFonts w:ascii="David" w:hAnsi="David" w:cs="David"/>
          <w:sz w:val="24"/>
          <w:szCs w:val="24"/>
        </w:rPr>
        <w:t xml:space="preserve"> </w:t>
      </w:r>
      <w:r>
        <w:rPr>
          <w:rFonts w:ascii="David" w:hAnsi="David" w:cs="David"/>
          <w:sz w:val="24"/>
          <w:szCs w:val="24"/>
          <w:rtl/>
        </w:rPr>
        <w:t>של</w:t>
      </w:r>
      <w:r>
        <w:rPr>
          <w:rFonts w:ascii="David" w:hAnsi="David" w:cs="David"/>
          <w:sz w:val="24"/>
          <w:szCs w:val="24"/>
        </w:rPr>
        <w:t xml:space="preserve"> </w:t>
      </w:r>
      <w:r>
        <w:rPr>
          <w:rFonts w:ascii="David" w:hAnsi="David" w:cs="David"/>
          <w:sz w:val="24"/>
          <w:szCs w:val="24"/>
          <w:rtl/>
        </w:rPr>
        <w:t>הנתבעת</w:t>
      </w:r>
      <w:r>
        <w:rPr>
          <w:rFonts w:ascii="David" w:hAnsi="David" w:cs="David"/>
          <w:sz w:val="24"/>
          <w:szCs w:val="24"/>
        </w:rPr>
        <w:t xml:space="preserve"> </w:t>
      </w:r>
      <w:r>
        <w:rPr>
          <w:rFonts w:ascii="David" w:hAnsi="David" w:cs="David"/>
          <w:sz w:val="24"/>
          <w:szCs w:val="24"/>
          <w:rtl/>
        </w:rPr>
        <w:t>כל</w:t>
      </w:r>
      <w:r>
        <w:rPr>
          <w:rFonts w:ascii="David" w:hAnsi="David" w:cs="David"/>
          <w:sz w:val="24"/>
          <w:szCs w:val="24"/>
        </w:rPr>
        <w:t xml:space="preserve"> </w:t>
      </w:r>
      <w:r>
        <w:rPr>
          <w:rFonts w:ascii="David" w:hAnsi="David" w:cs="David"/>
          <w:sz w:val="24"/>
          <w:szCs w:val="24"/>
          <w:rtl/>
        </w:rPr>
        <w:t>חשד</w:t>
      </w:r>
      <w:r>
        <w:rPr>
          <w:rFonts w:ascii="David" w:hAnsi="David" w:cs="David"/>
          <w:sz w:val="24"/>
          <w:szCs w:val="24"/>
        </w:rPr>
        <w:t xml:space="preserve"> </w:t>
      </w:r>
      <w:r>
        <w:rPr>
          <w:rFonts w:ascii="David" w:hAnsi="David" w:cs="David"/>
          <w:sz w:val="24"/>
          <w:szCs w:val="24"/>
          <w:rtl/>
        </w:rPr>
        <w:t>שיצדיק</w:t>
      </w:r>
      <w:r>
        <w:rPr>
          <w:rFonts w:ascii="David" w:hAnsi="David" w:cs="David"/>
          <w:sz w:val="24"/>
          <w:szCs w:val="24"/>
        </w:rPr>
        <w:t xml:space="preserve"> </w:t>
      </w:r>
      <w:r>
        <w:rPr>
          <w:rFonts w:ascii="David" w:hAnsi="David" w:cs="David"/>
          <w:sz w:val="24"/>
          <w:szCs w:val="24"/>
          <w:rtl/>
        </w:rPr>
        <w:t>עריכת</w:t>
      </w:r>
      <w:r>
        <w:rPr>
          <w:rFonts w:ascii="David" w:hAnsi="David" w:cs="David"/>
          <w:sz w:val="24"/>
          <w:szCs w:val="24"/>
        </w:rPr>
        <w:t xml:space="preserve"> </w:t>
      </w:r>
      <w:r>
        <w:rPr>
          <w:rFonts w:ascii="David" w:hAnsi="David" w:cs="David"/>
          <w:sz w:val="24"/>
          <w:szCs w:val="24"/>
          <w:rtl/>
        </w:rPr>
        <w:t>אימות</w:t>
      </w:r>
      <w:r>
        <w:rPr>
          <w:rFonts w:ascii="David" w:hAnsi="David" w:cs="David"/>
          <w:sz w:val="24"/>
          <w:szCs w:val="24"/>
        </w:rPr>
        <w:t xml:space="preserve"> </w:t>
      </w:r>
      <w:r>
        <w:rPr>
          <w:rFonts w:ascii="David" w:hAnsi="David" w:cs="David"/>
          <w:sz w:val="24"/>
          <w:szCs w:val="24"/>
          <w:rtl/>
        </w:rPr>
        <w:t>מלכתחילה.</w:t>
      </w:r>
    </w:p>
    <w:p w:rsidR="003F620D" w:rsidRDefault="003F620D" w:rsidP="003F620D">
      <w:pPr>
        <w:pStyle w:val="ad"/>
        <w:spacing w:line="360" w:lineRule="auto"/>
        <w:ind w:left="395"/>
        <w:jc w:val="both"/>
        <w:rPr>
          <w:rFonts w:ascii="David" w:hAnsi="David" w:cs="David"/>
          <w:sz w:val="24"/>
          <w:szCs w:val="24"/>
          <w:rtl/>
        </w:rPr>
      </w:pPr>
      <w:r>
        <w:rPr>
          <w:rFonts w:ascii="David" w:hAnsi="David" w:cs="David"/>
          <w:sz w:val="24"/>
          <w:szCs w:val="24"/>
          <w:rtl/>
        </w:rPr>
        <w:t xml:space="preserve">לענין זה הדגישה התובע שניתן לעיין במספר השלדה של רכב אשר כולל פרטים לגבי ארץ הייצור של הרכב ומפעל הייצור בהתאם לדרישות השוק האירופאי לצורך  רישום הרכבים במדינות אירופה וכוללות את כל הנתונים הרלוונטיים לצורך זה. </w:t>
      </w:r>
    </w:p>
    <w:p w:rsidR="003F620D" w:rsidRDefault="003F620D" w:rsidP="003F620D">
      <w:pPr>
        <w:pStyle w:val="ad"/>
        <w:rPr>
          <w:rFonts w:ascii="David" w:hAnsi="David" w:cs="David"/>
          <w:sz w:val="24"/>
          <w:szCs w:val="24"/>
        </w:rPr>
      </w:pPr>
    </w:p>
    <w:p w:rsidR="003F620D" w:rsidRDefault="003F620D" w:rsidP="000B3EE1">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לחילופין, עותרת התובעת בתביעת שנת 2021 לקבוע כי היא זכאית לפטור מתשלום החסר שבהודעות החיוב וזאת בשל ההגנה </w:t>
      </w:r>
      <w:r w:rsidR="000B3EE1">
        <w:rPr>
          <w:rFonts w:ascii="David" w:hAnsi="David" w:cs="David" w:hint="cs"/>
          <w:sz w:val="24"/>
          <w:szCs w:val="24"/>
          <w:rtl/>
        </w:rPr>
        <w:t xml:space="preserve">מכח </w:t>
      </w:r>
      <w:r>
        <w:rPr>
          <w:rFonts w:ascii="David" w:hAnsi="David" w:cs="David"/>
          <w:sz w:val="24"/>
          <w:szCs w:val="24"/>
          <w:rtl/>
        </w:rPr>
        <w:t xml:space="preserve">סעיף 3 </w:t>
      </w:r>
      <w:r w:rsidR="000B3EE1">
        <w:rPr>
          <w:rFonts w:ascii="David" w:hAnsi="David" w:cs="David" w:hint="cs"/>
          <w:sz w:val="24"/>
          <w:szCs w:val="24"/>
          <w:rtl/>
        </w:rPr>
        <w:t>ל</w:t>
      </w:r>
      <w:r>
        <w:rPr>
          <w:rFonts w:ascii="David" w:hAnsi="David" w:cs="David"/>
          <w:sz w:val="24"/>
          <w:szCs w:val="24"/>
          <w:rtl/>
        </w:rPr>
        <w:t xml:space="preserve">חוק </w:t>
      </w:r>
      <w:r w:rsidRPr="000B3EE1">
        <w:rPr>
          <w:rFonts w:ascii="David" w:hAnsi="David" w:cs="David"/>
          <w:sz w:val="24"/>
          <w:szCs w:val="24"/>
          <w:u w:val="single"/>
          <w:rtl/>
        </w:rPr>
        <w:t>מסים עקיפים (מס ששולם ביתר או בחסר)</w:t>
      </w:r>
      <w:r>
        <w:rPr>
          <w:rFonts w:ascii="David" w:hAnsi="David" w:cs="David"/>
          <w:sz w:val="24"/>
          <w:szCs w:val="24"/>
          <w:rtl/>
        </w:rPr>
        <w:t>, תשכ"ח- 1968 וכן להורות על ביטול</w:t>
      </w:r>
      <w:r>
        <w:rPr>
          <w:rFonts w:ascii="David" w:hAnsi="David" w:cs="David"/>
          <w:sz w:val="24"/>
          <w:szCs w:val="24"/>
        </w:rPr>
        <w:t xml:space="preserve"> </w:t>
      </w:r>
      <w:r>
        <w:rPr>
          <w:rFonts w:ascii="David" w:hAnsi="David" w:cs="David"/>
          <w:sz w:val="24"/>
          <w:szCs w:val="24"/>
          <w:rtl/>
        </w:rPr>
        <w:t>קנסות</w:t>
      </w:r>
      <w:r>
        <w:rPr>
          <w:rFonts w:ascii="David" w:hAnsi="David" w:cs="David"/>
          <w:sz w:val="24"/>
          <w:szCs w:val="24"/>
        </w:rPr>
        <w:t xml:space="preserve"> </w:t>
      </w:r>
      <w:r>
        <w:rPr>
          <w:rFonts w:ascii="David" w:hAnsi="David" w:cs="David"/>
          <w:sz w:val="24"/>
          <w:szCs w:val="24"/>
          <w:rtl/>
        </w:rPr>
        <w:t>הפיגורים. לדבריה, מהותו של קנס הפיגורים הוא תשלום עונשי המוטל על הנישום. ראוי להשית את הקנס על נישומים שחטאו באי מילוי הוראות החוק וגרמו על ידי כך נזק לרשויות המס.  בענייננו, טוענת התובעת כי סברה בתום לב ובאופן סביר כי כלי הרכב עומדים בכללי המקור שבהסכם הסחר, ועל כן אין טעם בחיוב בקנס הפיגורים.</w:t>
      </w:r>
    </w:p>
    <w:p w:rsidR="003F620D" w:rsidRDefault="003F620D" w:rsidP="003F620D">
      <w:pPr>
        <w:pStyle w:val="ad"/>
        <w:rPr>
          <w:rFonts w:ascii="David" w:hAnsi="David" w:cs="David"/>
          <w:sz w:val="24"/>
          <w:szCs w:val="24"/>
          <w:rtl/>
        </w:rPr>
      </w:pPr>
    </w:p>
    <w:p w:rsidR="003F620D" w:rsidRDefault="003F620D" w:rsidP="003F620D">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תמצית טענות הנתבעת</w:t>
      </w:r>
    </w:p>
    <w:p w:rsidR="003F620D" w:rsidRDefault="003F620D" w:rsidP="003F620D">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הנתבעת ציינה שככלל, הסכמי סחר קובעים שלושה תנאים מצטברים לצורך קבלת העדפת מכס: </w:t>
      </w:r>
      <w:r>
        <w:rPr>
          <w:rFonts w:ascii="David" w:hAnsi="David" w:cs="David"/>
          <w:sz w:val="24"/>
          <w:szCs w:val="24"/>
          <w:u w:val="single"/>
          <w:rtl/>
        </w:rPr>
        <w:t>ראשון</w:t>
      </w:r>
      <w:r>
        <w:rPr>
          <w:rFonts w:ascii="David" w:hAnsi="David" w:cs="David"/>
          <w:sz w:val="24"/>
          <w:szCs w:val="24"/>
          <w:rtl/>
        </w:rPr>
        <w:t xml:space="preserve">, עמידת הטובין ב"כללי מקור" הקבועים בהסכם הסחר; </w:t>
      </w:r>
      <w:r>
        <w:rPr>
          <w:rFonts w:ascii="David" w:hAnsi="David" w:cs="David"/>
          <w:sz w:val="24"/>
          <w:szCs w:val="24"/>
          <w:u w:val="single"/>
          <w:rtl/>
        </w:rPr>
        <w:t>שני</w:t>
      </w:r>
      <w:r>
        <w:rPr>
          <w:rFonts w:ascii="David" w:hAnsi="David" w:cs="David"/>
          <w:sz w:val="24"/>
          <w:szCs w:val="24"/>
          <w:rtl/>
        </w:rPr>
        <w:t xml:space="preserve">, הובלת הטובין במישרין; </w:t>
      </w:r>
      <w:r>
        <w:rPr>
          <w:rFonts w:ascii="David" w:hAnsi="David" w:cs="David"/>
          <w:sz w:val="24"/>
          <w:szCs w:val="24"/>
          <w:u w:val="single"/>
          <w:rtl/>
        </w:rPr>
        <w:t>שלישי</w:t>
      </w:r>
      <w:r>
        <w:rPr>
          <w:rFonts w:ascii="David" w:hAnsi="David" w:cs="David"/>
          <w:sz w:val="24"/>
          <w:szCs w:val="24"/>
          <w:rtl/>
        </w:rPr>
        <w:t>, הגשת מסמך העדפה, במועד יבוא הטובין לישראל, שהונפק כדין על ידי יצואן במדינת הייצוא.</w:t>
      </w:r>
    </w:p>
    <w:p w:rsidR="003F620D" w:rsidRDefault="003F620D" w:rsidP="003F620D">
      <w:pPr>
        <w:pStyle w:val="ad"/>
        <w:spacing w:line="360" w:lineRule="auto"/>
        <w:ind w:left="395"/>
        <w:jc w:val="both"/>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כלי הרכב שיובאו שוחררו בתחילה ללא תשלום מכס, בשל "מסמכי ההעדפה" שהומצאו. עם זאת, כאשר יבואן מציג מסמך העדפה, הרי בסמכות הנתבעת, כדבריה, לפנות למדינות בהן הונפקו המסמכים על מנת לאמת שהטובין אכן עומדים בתנאיי הסכם הסחר. כאשר לא כך הדבר, נדרש היבואן לשלם את הגרעון שנוצר במסי היבוא. בעניינינו השיבו מדינות המקור כי כלי הרכב אותם ייבאה התובעת אינם זכאים להעדפת מכס. מכאן דרישת התשלום שהועברה לתובעת.</w:t>
      </w:r>
    </w:p>
    <w:p w:rsidR="003F620D" w:rsidRDefault="003F620D" w:rsidP="003F620D">
      <w:pPr>
        <w:pStyle w:val="ad"/>
        <w:spacing w:line="360" w:lineRule="auto"/>
        <w:ind w:left="395"/>
        <w:jc w:val="both"/>
        <w:rPr>
          <w:rFonts w:ascii="David" w:hAnsi="David" w:cs="David"/>
          <w:sz w:val="24"/>
          <w:szCs w:val="24"/>
        </w:rPr>
      </w:pPr>
      <w:r>
        <w:rPr>
          <w:rFonts w:ascii="David" w:hAnsi="David" w:cs="David"/>
          <w:sz w:val="24"/>
          <w:szCs w:val="24"/>
          <w:rtl/>
        </w:rPr>
        <w:t>הנתבעת הדגישה  כי אם התובעת סבורה כי נפלה שגגה בהחלטות המכס האירופאיות באשר לעמידתם של הטובין בכללי מקור או שהיצואן אשר ממנו רכשה את כלי הרכב המיובאים הפר התחייבות חוזית מולה, פתוחה בפניה הדרך לפעול בדרך אותה תמצא לנכון וכי כל</w:t>
      </w:r>
      <w:r>
        <w:rPr>
          <w:rFonts w:ascii="David" w:hAnsi="David" w:cs="David"/>
          <w:sz w:val="24"/>
          <w:szCs w:val="24"/>
        </w:rPr>
        <w:t xml:space="preserve"> </w:t>
      </w:r>
      <w:r>
        <w:rPr>
          <w:rFonts w:ascii="David" w:hAnsi="David" w:cs="David"/>
          <w:sz w:val="24"/>
          <w:szCs w:val="24"/>
          <w:rtl/>
        </w:rPr>
        <w:t>עוד</w:t>
      </w:r>
      <w:r>
        <w:rPr>
          <w:rFonts w:ascii="David" w:hAnsi="David" w:cs="David"/>
          <w:sz w:val="24"/>
          <w:szCs w:val="24"/>
        </w:rPr>
        <w:t xml:space="preserve"> </w:t>
      </w:r>
      <w:r>
        <w:rPr>
          <w:rFonts w:ascii="David" w:hAnsi="David" w:cs="David"/>
          <w:sz w:val="24"/>
          <w:szCs w:val="24"/>
          <w:rtl/>
        </w:rPr>
        <w:t>החלטת</w:t>
      </w:r>
      <w:r>
        <w:rPr>
          <w:rFonts w:ascii="David" w:hAnsi="David" w:cs="David"/>
          <w:sz w:val="24"/>
          <w:szCs w:val="24"/>
        </w:rPr>
        <w:t xml:space="preserve"> </w:t>
      </w:r>
      <w:r>
        <w:rPr>
          <w:rFonts w:ascii="David" w:hAnsi="David" w:cs="David"/>
          <w:sz w:val="24"/>
          <w:szCs w:val="24"/>
          <w:rtl/>
        </w:rPr>
        <w:t>המכס</w:t>
      </w:r>
      <w:r>
        <w:rPr>
          <w:rFonts w:ascii="David" w:hAnsi="David" w:cs="David"/>
          <w:sz w:val="24"/>
          <w:szCs w:val="24"/>
        </w:rPr>
        <w:t xml:space="preserve"> </w:t>
      </w:r>
      <w:r>
        <w:rPr>
          <w:rFonts w:ascii="David" w:hAnsi="David" w:cs="David"/>
          <w:sz w:val="24"/>
          <w:szCs w:val="24"/>
          <w:rtl/>
        </w:rPr>
        <w:t>הזר</w:t>
      </w:r>
      <w:r>
        <w:rPr>
          <w:rFonts w:ascii="David" w:hAnsi="David" w:cs="David"/>
          <w:sz w:val="24"/>
          <w:szCs w:val="24"/>
        </w:rPr>
        <w:t xml:space="preserve"> </w:t>
      </w:r>
      <w:r>
        <w:rPr>
          <w:rFonts w:ascii="David" w:hAnsi="David" w:cs="David"/>
          <w:sz w:val="24"/>
          <w:szCs w:val="24"/>
          <w:rtl/>
        </w:rPr>
        <w:t>עומדת</w:t>
      </w:r>
      <w:r>
        <w:rPr>
          <w:rFonts w:ascii="David" w:hAnsi="David" w:cs="David"/>
          <w:sz w:val="24"/>
          <w:szCs w:val="24"/>
        </w:rPr>
        <w:t xml:space="preserve"> </w:t>
      </w:r>
      <w:r>
        <w:rPr>
          <w:rFonts w:ascii="David" w:hAnsi="David" w:cs="David"/>
          <w:sz w:val="24"/>
          <w:szCs w:val="24"/>
          <w:rtl/>
        </w:rPr>
        <w:t>בעינה</w:t>
      </w:r>
      <w:r>
        <w:rPr>
          <w:rFonts w:ascii="David" w:hAnsi="David" w:cs="David"/>
          <w:sz w:val="24"/>
          <w:szCs w:val="24"/>
        </w:rPr>
        <w:t xml:space="preserve"> </w:t>
      </w:r>
      <w:r>
        <w:rPr>
          <w:rFonts w:ascii="David" w:hAnsi="David" w:cs="David"/>
          <w:sz w:val="24"/>
          <w:szCs w:val="24"/>
          <w:rtl/>
        </w:rPr>
        <w:t>אין</w:t>
      </w:r>
      <w:r>
        <w:rPr>
          <w:rFonts w:ascii="David" w:hAnsi="David" w:cs="David"/>
          <w:sz w:val="24"/>
          <w:szCs w:val="24"/>
        </w:rPr>
        <w:t xml:space="preserve"> </w:t>
      </w:r>
      <w:r>
        <w:rPr>
          <w:rFonts w:ascii="David" w:hAnsi="David" w:cs="David"/>
          <w:sz w:val="24"/>
          <w:szCs w:val="24"/>
          <w:rtl/>
        </w:rPr>
        <w:t>המכס</w:t>
      </w:r>
      <w:r>
        <w:rPr>
          <w:rFonts w:ascii="David" w:hAnsi="David" w:cs="David"/>
          <w:sz w:val="24"/>
          <w:szCs w:val="24"/>
        </w:rPr>
        <w:t xml:space="preserve"> </w:t>
      </w:r>
      <w:r>
        <w:rPr>
          <w:rFonts w:ascii="David" w:hAnsi="David" w:cs="David"/>
          <w:sz w:val="24"/>
          <w:szCs w:val="24"/>
          <w:rtl/>
        </w:rPr>
        <w:t>הישראלי</w:t>
      </w:r>
      <w:r>
        <w:rPr>
          <w:rFonts w:ascii="David" w:hAnsi="David" w:cs="David"/>
          <w:sz w:val="24"/>
          <w:szCs w:val="24"/>
        </w:rPr>
        <w:t xml:space="preserve"> </w:t>
      </w:r>
      <w:r>
        <w:rPr>
          <w:rFonts w:ascii="David" w:hAnsi="David" w:cs="David"/>
          <w:sz w:val="24"/>
          <w:szCs w:val="24"/>
          <w:rtl/>
        </w:rPr>
        <w:t>רשאי</w:t>
      </w:r>
      <w:r>
        <w:rPr>
          <w:rFonts w:ascii="David" w:hAnsi="David" w:cs="David"/>
          <w:sz w:val="24"/>
          <w:szCs w:val="24"/>
        </w:rPr>
        <w:t xml:space="preserve"> </w:t>
      </w:r>
      <w:r>
        <w:rPr>
          <w:rFonts w:ascii="David" w:hAnsi="David" w:cs="David"/>
          <w:sz w:val="24"/>
          <w:szCs w:val="24"/>
          <w:rtl/>
        </w:rPr>
        <w:t>לסטות</w:t>
      </w:r>
      <w:r>
        <w:rPr>
          <w:rFonts w:ascii="David" w:hAnsi="David" w:cs="David"/>
          <w:sz w:val="24"/>
          <w:szCs w:val="24"/>
        </w:rPr>
        <w:t xml:space="preserve"> </w:t>
      </w:r>
      <w:r>
        <w:rPr>
          <w:rFonts w:ascii="David" w:hAnsi="David" w:cs="David"/>
          <w:sz w:val="24"/>
          <w:szCs w:val="24"/>
          <w:rtl/>
        </w:rPr>
        <w:t>מהחלטה</w:t>
      </w:r>
      <w:r>
        <w:rPr>
          <w:rFonts w:ascii="David" w:hAnsi="David" w:cs="David"/>
          <w:sz w:val="24"/>
          <w:szCs w:val="24"/>
        </w:rPr>
        <w:t xml:space="preserve"> </w:t>
      </w:r>
      <w:r>
        <w:rPr>
          <w:rFonts w:ascii="David" w:hAnsi="David" w:cs="David"/>
          <w:sz w:val="24"/>
          <w:szCs w:val="24"/>
          <w:rtl/>
        </w:rPr>
        <w:t>זו.</w:t>
      </w:r>
    </w:p>
    <w:p w:rsidR="003F620D" w:rsidRDefault="003F620D" w:rsidP="003F620D">
      <w:pPr>
        <w:pStyle w:val="ad"/>
        <w:spacing w:line="360" w:lineRule="auto"/>
        <w:ind w:left="395"/>
        <w:jc w:val="both"/>
        <w:rPr>
          <w:rFonts w:ascii="David" w:hAnsi="David" w:cs="David"/>
          <w:sz w:val="24"/>
          <w:szCs w:val="24"/>
          <w:rtl/>
        </w:rPr>
      </w:pPr>
    </w:p>
    <w:p w:rsidR="003F620D" w:rsidRDefault="003F620D" w:rsidP="003F620D">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לטענת הנתבעת רשות המכס הזרה מנפיקה מסמכי העדפה על סמך הצהרת היצואן לפיה הטובין עונים על תנאי הסכם הסחר. ברוב המקרים לא מבוצעת בחינה מדוקדקת של תהליכי ייצור הטובין </w:t>
      </w:r>
      <w:r>
        <w:rPr>
          <w:rFonts w:ascii="David" w:hAnsi="David" w:cs="David"/>
          <w:sz w:val="24"/>
          <w:szCs w:val="24"/>
          <w:rtl/>
        </w:rPr>
        <w:lastRenderedPageBreak/>
        <w:t>למעט בדיקות אקראיות שמבצעת מדינת היצוא. עוד הפנתה אל שער 6 בפרוטוקול 4 שכותרתו "הסדרים לשיתוף פעולה מינהלי" (סעיפים 6-32 ) הקובע כי רשות מכס במדינה המייבאת רשאית לדרוש מהמדינה המייצאת לבצע אימות בדיעבד של מסמך ההעדפה.</w:t>
      </w:r>
    </w:p>
    <w:p w:rsidR="003F620D" w:rsidRDefault="003F620D" w:rsidP="003F620D">
      <w:pPr>
        <w:pStyle w:val="ad"/>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אשר לטענת התובעת לפיה בהתאם לנהלי המכס לא נדרש להציג תעודות תנועה ביחס לכלי רכב משומשים טענה הנתבעת כי הנוהל עליו מצביעה התובעת (סעיף 1.17 בהוראת נוהל זמנית: פרק 5: הסכמי סחר: חלק 1 ההסכם האירופאי ים-תיכוני: תת-חלק 1: קבלת העדפת מכס ביבוא לישראל עפ"י ההסכם האירופאי – ים-תיכוני ) הוא נוהל שבוטל בתאריך 30.11.20 והוחלף בנוהל אחר בו נקבע כי יש להציג מסמך העדפה גם בעת יבוא של כלי רכב משומש.</w:t>
      </w:r>
    </w:p>
    <w:p w:rsidR="003F620D" w:rsidRDefault="003F620D" w:rsidP="003F620D">
      <w:pPr>
        <w:pStyle w:val="ad"/>
        <w:spacing w:line="360" w:lineRule="auto"/>
        <w:ind w:left="395"/>
        <w:jc w:val="both"/>
        <w:rPr>
          <w:rFonts w:ascii="David" w:hAnsi="David" w:cs="David"/>
          <w:sz w:val="24"/>
          <w:szCs w:val="24"/>
        </w:rPr>
      </w:pPr>
      <w:r>
        <w:rPr>
          <w:rFonts w:ascii="David" w:hAnsi="David" w:cs="David"/>
          <w:sz w:val="24"/>
          <w:szCs w:val="24"/>
          <w:rtl/>
        </w:rPr>
        <w:t xml:space="preserve">הנתבעת אף מנמקת את ביטול הנוהל ומציינת שהנוהל הישן חל על יבוא </w:t>
      </w:r>
      <w:r>
        <w:rPr>
          <w:rFonts w:ascii="David" w:hAnsi="David" w:cs="David"/>
          <w:sz w:val="24"/>
          <w:szCs w:val="24"/>
          <w:u w:val="single"/>
          <w:rtl/>
        </w:rPr>
        <w:t>אישי</w:t>
      </w:r>
      <w:r>
        <w:rPr>
          <w:rFonts w:ascii="David" w:hAnsi="David" w:cs="David"/>
          <w:sz w:val="24"/>
          <w:szCs w:val="24"/>
          <w:rtl/>
        </w:rPr>
        <w:t xml:space="preserve"> של כלי רכב משומשים. בעת שפורסם הנוהל, יבוא אישי התבצע בעיקר על ידי תושבים חוזרים, שלא לצרכים מסחריים. הנוהל הישן אינו חל ולא נועד לחול על יבוא מסחרי, ומכאן גם לא על מי שהוגדר כיבואן זעיר.</w:t>
      </w:r>
    </w:p>
    <w:p w:rsidR="003F620D" w:rsidRDefault="003F620D" w:rsidP="003F620D">
      <w:pPr>
        <w:pStyle w:val="ad"/>
        <w:spacing w:line="360" w:lineRule="auto"/>
        <w:ind w:left="395"/>
        <w:jc w:val="both"/>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באשר לטענות התובעת לפיהן יש להתבסס על מספר השילדה ופרטיו לצורך קביעת המקור טענה הנתבעת כי אין בכך ממש. אין בצו תעריף המכס או בהסכם הסחר החרגה לטובין שהם כלי רכב, אשר מקנה פטור מהצגת "מסמך העדפה" לטובין מסוג כלי רכב. עוד נטען כי לו היה ממש בטענת התובעת, חזקה על רשויות המכס האירופאיות כי היו מאשרות את מקור הטובין המיובאים בהתאם למספר השילדה. מעבר לכך, טענת התובעת אינה נכונה לגופה, מאחר שכלי רכב רבים מכילים רכיבים שלא הושגו בשלמותם בקהילה ולא עברו עבודה ועיבוד מספקים בקהילה כנדרש בהתאם להוראות הסכם הסחר. משכך קמה החובה להמציא "מסמך העדפה". הנתבעת אף הבהירה  שגם יבואנים מסחריים אחרים של כלי רכב נדרשים להציג מסמך העדפה על מנת לקבל את ההקלה במסי יבוא.</w:t>
      </w:r>
    </w:p>
    <w:p w:rsidR="003F620D" w:rsidRDefault="003F620D" w:rsidP="003F620D">
      <w:pPr>
        <w:pStyle w:val="ad"/>
        <w:spacing w:line="360" w:lineRule="auto"/>
        <w:ind w:left="395"/>
        <w:jc w:val="both"/>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עוד ציינה הנתבעת שהסכם הסחר מבוסס על שיתוף פעולה והדדיות בין המדינות שהן צד לו, וכל מדינה מכבדת את החלטותיה ושיקול דעתה של רעותה, אחרת לא תהיה כל נפקות להסכם ולמטרותיו. הנתבעת הדגישה כי העמידה הקפדנית על הוראות הדין נועדה</w:t>
      </w:r>
      <w:r>
        <w:rPr>
          <w:rFonts w:ascii="David" w:hAnsi="David" w:cs="David"/>
          <w:sz w:val="24"/>
          <w:szCs w:val="24"/>
        </w:rPr>
        <w:t xml:space="preserve"> </w:t>
      </w:r>
      <w:r>
        <w:rPr>
          <w:rFonts w:ascii="David" w:hAnsi="David" w:cs="David"/>
          <w:sz w:val="24"/>
          <w:szCs w:val="24"/>
          <w:rtl/>
        </w:rPr>
        <w:t>לקדם</w:t>
      </w:r>
      <w:r>
        <w:rPr>
          <w:rFonts w:ascii="David" w:hAnsi="David" w:cs="David"/>
          <w:sz w:val="24"/>
          <w:szCs w:val="24"/>
        </w:rPr>
        <w:t xml:space="preserve"> </w:t>
      </w:r>
      <w:r>
        <w:rPr>
          <w:rFonts w:ascii="David" w:hAnsi="David" w:cs="David"/>
          <w:sz w:val="24"/>
          <w:szCs w:val="24"/>
          <w:rtl/>
        </w:rPr>
        <w:t>וודאות</w:t>
      </w:r>
      <w:r>
        <w:rPr>
          <w:rFonts w:ascii="David" w:hAnsi="David" w:cs="David"/>
          <w:sz w:val="24"/>
          <w:szCs w:val="24"/>
        </w:rPr>
        <w:t xml:space="preserve"> </w:t>
      </w:r>
      <w:r>
        <w:rPr>
          <w:rFonts w:ascii="David" w:hAnsi="David" w:cs="David"/>
          <w:sz w:val="24"/>
          <w:szCs w:val="24"/>
          <w:rtl/>
        </w:rPr>
        <w:t>ופשטות.</w:t>
      </w:r>
    </w:p>
    <w:p w:rsidR="003F620D" w:rsidRDefault="003F620D" w:rsidP="003F620D">
      <w:pPr>
        <w:pStyle w:val="ad"/>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באשר לסעד ההשבה שבתביעת 2021 (ת"א 8411-05-21) טענה הנתבעת שהתנאים הקבועים בסעיף 3 לחוק </w:t>
      </w:r>
      <w:r>
        <w:rPr>
          <w:rFonts w:ascii="David" w:hAnsi="David" w:cs="David"/>
          <w:sz w:val="24"/>
          <w:szCs w:val="24"/>
          <w:u w:val="single"/>
          <w:rtl/>
        </w:rPr>
        <w:t>מיסים עקיפים (מס ששולם ביתר או בחסר)</w:t>
      </w:r>
      <w:r>
        <w:rPr>
          <w:rFonts w:ascii="David" w:hAnsi="David" w:cs="David"/>
          <w:sz w:val="24"/>
          <w:szCs w:val="24"/>
          <w:rtl/>
        </w:rPr>
        <w:t>, תשכ"ח- 1968 אינם מתקיימים בעניינה של התובעת.</w:t>
      </w:r>
    </w:p>
    <w:p w:rsidR="003F620D" w:rsidRDefault="003F620D" w:rsidP="003F620D">
      <w:pPr>
        <w:pStyle w:val="ad"/>
        <w:spacing w:line="360" w:lineRule="auto"/>
        <w:ind w:left="395"/>
        <w:jc w:val="both"/>
        <w:rPr>
          <w:rFonts w:ascii="David" w:hAnsi="David" w:cs="David"/>
          <w:sz w:val="24"/>
          <w:szCs w:val="24"/>
        </w:rPr>
      </w:pPr>
      <w:r>
        <w:rPr>
          <w:rFonts w:ascii="David" w:hAnsi="David" w:cs="David"/>
          <w:sz w:val="24"/>
          <w:szCs w:val="24"/>
          <w:rtl/>
        </w:rPr>
        <w:t xml:space="preserve">עוד הפנתה הנתבעת לכך שסכום הודעות החיוב בגינן הוגשה התביעה הוא אמנם 172,607 ₪ בתוספת מע"מ ובסך הכל 197,570 ₪. עם זאת, מכיוון שהתובענה הוגשה כתביעה לסעד כספי בסך של 141,496 ₪, הרי התובעת אינה זכאית לסכומים העולים על סכום זה. </w:t>
      </w:r>
    </w:p>
    <w:p w:rsidR="003F620D" w:rsidRDefault="003F620D" w:rsidP="003F620D">
      <w:pPr>
        <w:pStyle w:val="ad"/>
        <w:rPr>
          <w:rFonts w:ascii="David" w:hAnsi="David" w:cs="David"/>
          <w:sz w:val="24"/>
          <w:szCs w:val="24"/>
        </w:rPr>
      </w:pPr>
    </w:p>
    <w:p w:rsidR="003F620D" w:rsidRDefault="003F620D" w:rsidP="003F620D">
      <w:pPr>
        <w:pStyle w:val="ad"/>
        <w:spacing w:line="360" w:lineRule="auto"/>
        <w:ind w:left="1115"/>
        <w:jc w:val="both"/>
        <w:rPr>
          <w:rFonts w:ascii="David" w:hAnsi="David" w:cs="David"/>
          <w:sz w:val="24"/>
          <w:szCs w:val="24"/>
          <w:rtl/>
        </w:rPr>
      </w:pPr>
    </w:p>
    <w:p w:rsidR="003F620D" w:rsidRDefault="003F620D" w:rsidP="003F620D">
      <w:pPr>
        <w:pStyle w:val="ad"/>
        <w:spacing w:line="360" w:lineRule="auto"/>
        <w:ind w:left="-598"/>
        <w:jc w:val="both"/>
        <w:rPr>
          <w:rFonts w:ascii="David" w:hAnsi="David" w:cs="David"/>
          <w:sz w:val="24"/>
          <w:szCs w:val="24"/>
          <w:rtl/>
        </w:rPr>
      </w:pPr>
      <w:r>
        <w:rPr>
          <w:rFonts w:ascii="David" w:hAnsi="David" w:cs="David"/>
          <w:b/>
          <w:bCs/>
          <w:sz w:val="28"/>
          <w:szCs w:val="28"/>
          <w:u w:val="single"/>
          <w:rtl/>
        </w:rPr>
        <w:lastRenderedPageBreak/>
        <w:t>חלק שלישי – דיון והכרעה בשאלה הראשונה משתיים, שאלת הפטור ממכס בהיעדר מסמכי העדפה מאומתים</w:t>
      </w:r>
      <w:r>
        <w:rPr>
          <w:rFonts w:ascii="David" w:hAnsi="David" w:cs="David"/>
          <w:sz w:val="24"/>
          <w:szCs w:val="24"/>
          <w:rtl/>
        </w:rPr>
        <w:t xml:space="preserve"> </w:t>
      </w:r>
    </w:p>
    <w:p w:rsidR="003F620D" w:rsidRDefault="003F620D" w:rsidP="003F620D">
      <w:pPr>
        <w:pStyle w:val="ad"/>
        <w:rPr>
          <w:rFonts w:ascii="David" w:hAnsi="David" w:cs="David"/>
          <w:sz w:val="24"/>
          <w:szCs w:val="24"/>
          <w:rtl/>
        </w:rPr>
      </w:pPr>
    </w:p>
    <w:p w:rsidR="003F620D" w:rsidRDefault="003F620D" w:rsidP="003F620D">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שאלה ראשונה משתיים - האם התובעת זכאית להטבות בחיובי מכס, כאשר "מסמכי ההעדפה" שסופקו לא אומתו ולמעשה נשללו על ידי המדינה המייצאת?</w:t>
      </w:r>
    </w:p>
    <w:p w:rsidR="003F620D" w:rsidRDefault="003F620D" w:rsidP="003F620D">
      <w:pPr>
        <w:pStyle w:val="ad"/>
        <w:numPr>
          <w:ilvl w:val="1"/>
          <w:numId w:val="1"/>
        </w:numPr>
        <w:spacing w:line="360" w:lineRule="auto"/>
        <w:ind w:left="395" w:hanging="567"/>
        <w:jc w:val="both"/>
        <w:rPr>
          <w:rFonts w:ascii="David" w:hAnsi="David" w:cs="David"/>
          <w:b/>
          <w:bCs/>
          <w:sz w:val="24"/>
          <w:szCs w:val="24"/>
          <w:u w:val="single"/>
        </w:rPr>
      </w:pPr>
      <w:r>
        <w:rPr>
          <w:rFonts w:ascii="David" w:hAnsi="David" w:cs="David"/>
          <w:sz w:val="24"/>
          <w:szCs w:val="24"/>
          <w:rtl/>
        </w:rPr>
        <w:t>אין חולק על כך שהתובעת הגישה בתחילה "מסמכי העדפה" שונים, ולמעשה אין כל טענה שהתובעת חלילה ביקשה להטעות או להציג מסמכים שאינם מסמכי אמת לטעמה. מסמכי ההעדפה אמנם לא אומתו, אך אין כל טענה לזיוף או הטעיה במכוון. לכך יש חשיבות רבה אליה אתייחס במסגרת הדיון להשבת התשלום מכח חוק מיסים עקיפים (מס ששולם ביתר או בחסר).</w:t>
      </w:r>
    </w:p>
    <w:p w:rsidR="003F620D" w:rsidRDefault="003F620D" w:rsidP="003F620D">
      <w:pPr>
        <w:pStyle w:val="ad"/>
        <w:spacing w:line="360" w:lineRule="auto"/>
        <w:ind w:left="395"/>
        <w:jc w:val="both"/>
        <w:rPr>
          <w:rFonts w:ascii="David" w:hAnsi="David" w:cs="David"/>
          <w:b/>
          <w:bCs/>
          <w:sz w:val="24"/>
          <w:szCs w:val="24"/>
          <w:u w:val="single"/>
        </w:rPr>
      </w:pPr>
    </w:p>
    <w:p w:rsidR="003F620D" w:rsidRDefault="003F620D" w:rsidP="003F620D">
      <w:pPr>
        <w:pStyle w:val="ad"/>
        <w:spacing w:line="360" w:lineRule="auto"/>
        <w:ind w:left="395"/>
        <w:jc w:val="both"/>
        <w:rPr>
          <w:rFonts w:ascii="David" w:hAnsi="David" w:cs="David"/>
          <w:sz w:val="24"/>
          <w:szCs w:val="24"/>
        </w:rPr>
      </w:pPr>
      <w:r>
        <w:rPr>
          <w:rFonts w:ascii="David" w:hAnsi="David" w:cs="David"/>
          <w:sz w:val="24"/>
          <w:szCs w:val="24"/>
          <w:rtl/>
        </w:rPr>
        <w:t>לעובדה שאין כל האשמה או תלונה על התנהלות התובעת, קיימת כמובן גם חשיבות אישית לעומדים מאחורי התובעת. ודוק, תוצאת ההליך כאן אינה באה לפגוע בשמם או לקבוע דבר ביחס להגינותם של אנשי התובעת.</w:t>
      </w:r>
    </w:p>
    <w:p w:rsidR="003F620D" w:rsidRDefault="003F620D" w:rsidP="003F620D">
      <w:pPr>
        <w:pStyle w:val="ad"/>
        <w:spacing w:line="360" w:lineRule="auto"/>
        <w:ind w:left="395"/>
        <w:jc w:val="both"/>
        <w:rPr>
          <w:rFonts w:ascii="David" w:hAnsi="David" w:cs="David"/>
          <w:sz w:val="24"/>
          <w:szCs w:val="24"/>
          <w:rtl/>
        </w:rPr>
      </w:pPr>
    </w:p>
    <w:p w:rsidR="003F620D" w:rsidRDefault="003F620D" w:rsidP="003F620D">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טענות התובעת נוגעות לשורה ארוכה של פגמים שנפלו, לטעמה, בהתנהלות הנתבעת. טענות ביחס לפניית האימות לשלטונות המכס של המדינה המייצאת; טענות ביחס לנוהלי הנתבעת; טענות בדבר הקושי בקבלת "מסמכי העדפה" בכל הקשור לרכב המיובא בייבוא מקביל; טענות ביחס להתאמה שניתן ללמוד עליה לטעמה של התובעת ממספר השלדה של כלי הרכב המיובא; טענות ביחס להתאמה שבין כלי הרכב שיובאו בייבוא מקביל – אל מול כלי הרכב המיובאים על ידי היבואן הרשמי וכן טענות נוספות כפי שפורטו לעיל. </w:t>
      </w:r>
      <w:r>
        <w:rPr>
          <w:rFonts w:ascii="David" w:hAnsi="David" w:cs="David"/>
          <w:sz w:val="24"/>
          <w:szCs w:val="24"/>
          <w:u w:val="single"/>
          <w:rtl/>
        </w:rPr>
        <w:t>ואולם</w:t>
      </w:r>
      <w:r>
        <w:rPr>
          <w:rFonts w:ascii="David" w:hAnsi="David" w:cs="David"/>
          <w:sz w:val="24"/>
          <w:szCs w:val="24"/>
          <w:rtl/>
        </w:rPr>
        <w:t>, שוב ייאמר ש"מסמכי ההעדפה" אותם העבירה התובעת לא אומתו ובכך נמנעת מהתובעת הזכות לקבל את הטבת המיסוי אותה היא דורשת.</w:t>
      </w:r>
    </w:p>
    <w:p w:rsidR="003F620D" w:rsidRDefault="003F620D" w:rsidP="003F620D">
      <w:pPr>
        <w:pStyle w:val="ad"/>
        <w:spacing w:line="360" w:lineRule="auto"/>
        <w:ind w:left="395"/>
        <w:jc w:val="both"/>
        <w:rPr>
          <w:rFonts w:ascii="David" w:hAnsi="David" w:cs="David"/>
          <w:sz w:val="24"/>
          <w:szCs w:val="24"/>
        </w:rPr>
      </w:pPr>
    </w:p>
    <w:p w:rsidR="003F620D" w:rsidRDefault="003F620D" w:rsidP="003F620D">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הדרישה להגשת "מסמכי העדפה" תקפים, אינה דרישה משנית – אלא דרישה עיקרית כאשר המסמכים עצמם הם אלה שעומדים בבסיס הפטור ממכס. הדרישה לצרף מסמכי העדפה לכל הצהרת ייבוא מעוגנת בסעיף 62(ג)(3) לפקודת המכס [נוסח חדש], כאשר סעיף 1 לפקודה מגדיר מסמכי העדפה כך:    </w:t>
      </w:r>
    </w:p>
    <w:p w:rsidR="003F620D" w:rsidRDefault="003F620D" w:rsidP="003F620D">
      <w:pPr>
        <w:pStyle w:val="ad"/>
        <w:spacing w:line="360" w:lineRule="auto"/>
        <w:ind w:left="1529"/>
        <w:jc w:val="both"/>
        <w:rPr>
          <w:rFonts w:ascii="David" w:hAnsi="David" w:cs="David"/>
          <w:b/>
          <w:bCs/>
        </w:rPr>
      </w:pPr>
      <w:r>
        <w:rPr>
          <w:rFonts w:ascii="David" w:hAnsi="David" w:cs="David"/>
          <w:b/>
          <w:bCs/>
          <w:sz w:val="24"/>
          <w:szCs w:val="24"/>
          <w:rtl/>
        </w:rPr>
        <w:t>"מסמכי העדפה" – מסמכים המונפקים בהתאם להסכם סחר שישראל צד לו המעניק בין השאר העדפה בשיעורי מכס, אשר כוללים הצהרות בדבר מקור הטובין ועמידתם בתנאים לקבלת העדפה בשיעורי מכס לפי אותו הסכם; לעניין הגדרה זו, "העדפה" – לרבות הפחתה או פטור"</w:t>
      </w:r>
    </w:p>
    <w:p w:rsidR="003F620D" w:rsidRDefault="003F620D" w:rsidP="003F620D">
      <w:pPr>
        <w:pStyle w:val="ad"/>
        <w:spacing w:line="360" w:lineRule="auto"/>
        <w:ind w:left="395"/>
        <w:jc w:val="both"/>
        <w:rPr>
          <w:rFonts w:ascii="David" w:hAnsi="David" w:cs="David"/>
          <w:sz w:val="24"/>
          <w:szCs w:val="24"/>
          <w:rtl/>
        </w:rPr>
      </w:pPr>
    </w:p>
    <w:p w:rsidR="003F620D" w:rsidRDefault="003F620D" w:rsidP="003F620D">
      <w:pPr>
        <w:pStyle w:val="ad"/>
        <w:spacing w:line="360" w:lineRule="auto"/>
        <w:ind w:left="395"/>
        <w:jc w:val="both"/>
        <w:rPr>
          <w:rFonts w:ascii="David" w:hAnsi="David" w:cs="David"/>
          <w:sz w:val="24"/>
          <w:szCs w:val="24"/>
          <w:rtl/>
        </w:rPr>
      </w:pPr>
      <w:r>
        <w:rPr>
          <w:rFonts w:ascii="David" w:hAnsi="David" w:cs="David"/>
          <w:sz w:val="24"/>
          <w:szCs w:val="24"/>
          <w:rtl/>
        </w:rPr>
        <w:t xml:space="preserve">ומה כאשר לא מומצאים מסמכי העדפה, או כאשר מסמכי ההעדפה נשללים ואינם מאומתים? במקרה כזה אין כל דרך להעניק ליבואן פטור מחיובי המכס, למעט במקרים הנופלים לגדר הוראות חוק </w:t>
      </w:r>
      <w:r>
        <w:rPr>
          <w:rFonts w:ascii="David" w:hAnsi="David" w:cs="David"/>
          <w:sz w:val="24"/>
          <w:szCs w:val="24"/>
          <w:u w:val="single"/>
          <w:rtl/>
        </w:rPr>
        <w:t>מיסים עקיפים (מס ששולם ביתר או בחסר)</w:t>
      </w:r>
      <w:r>
        <w:rPr>
          <w:rFonts w:ascii="David" w:hAnsi="David" w:cs="David"/>
          <w:sz w:val="24"/>
          <w:szCs w:val="24"/>
          <w:rtl/>
        </w:rPr>
        <w:t xml:space="preserve">  אליו אתייחס בסעיף 7 להלן.</w:t>
      </w:r>
    </w:p>
    <w:p w:rsidR="003F620D" w:rsidRDefault="003F620D" w:rsidP="003F620D">
      <w:pPr>
        <w:pStyle w:val="ad"/>
        <w:spacing w:line="360" w:lineRule="auto"/>
        <w:ind w:left="395"/>
        <w:jc w:val="both"/>
        <w:rPr>
          <w:rFonts w:ascii="David" w:hAnsi="David" w:cs="David"/>
          <w:sz w:val="24"/>
          <w:szCs w:val="24"/>
          <w:rtl/>
        </w:rPr>
      </w:pPr>
    </w:p>
    <w:p w:rsidR="00953198" w:rsidRDefault="00953198" w:rsidP="003F620D">
      <w:pPr>
        <w:pStyle w:val="ad"/>
        <w:spacing w:line="360" w:lineRule="auto"/>
        <w:ind w:left="395"/>
        <w:jc w:val="both"/>
        <w:rPr>
          <w:rFonts w:ascii="David" w:hAnsi="David" w:cs="David"/>
          <w:sz w:val="24"/>
          <w:szCs w:val="24"/>
          <w:rtl/>
        </w:rPr>
      </w:pPr>
    </w:p>
    <w:p w:rsidR="003F620D" w:rsidRDefault="003F620D" w:rsidP="003F620D">
      <w:pPr>
        <w:pStyle w:val="ad"/>
        <w:numPr>
          <w:ilvl w:val="1"/>
          <w:numId w:val="1"/>
        </w:numPr>
        <w:spacing w:line="360" w:lineRule="auto"/>
        <w:ind w:left="395" w:hanging="567"/>
        <w:jc w:val="both"/>
        <w:rPr>
          <w:rFonts w:ascii="David" w:hAnsi="David" w:cs="David"/>
          <w:sz w:val="24"/>
          <w:szCs w:val="24"/>
          <w:rtl/>
        </w:rPr>
      </w:pPr>
      <w:r>
        <w:rPr>
          <w:rFonts w:ascii="David" w:hAnsi="David" w:cs="David"/>
          <w:b/>
          <w:bCs/>
          <w:sz w:val="24"/>
          <w:szCs w:val="24"/>
          <w:u w:val="single"/>
          <w:rtl/>
        </w:rPr>
        <w:lastRenderedPageBreak/>
        <w:t xml:space="preserve">מסמכי ההעדפה – תנאי בלעדיו אין </w:t>
      </w:r>
    </w:p>
    <w:p w:rsidR="003F620D" w:rsidRDefault="003F620D" w:rsidP="003F620D">
      <w:pPr>
        <w:pStyle w:val="ad"/>
        <w:numPr>
          <w:ilvl w:val="0"/>
          <w:numId w:val="10"/>
        </w:numPr>
        <w:spacing w:line="360" w:lineRule="auto"/>
        <w:jc w:val="both"/>
        <w:rPr>
          <w:rFonts w:ascii="David" w:hAnsi="David" w:cs="David"/>
          <w:sz w:val="24"/>
          <w:szCs w:val="24"/>
        </w:rPr>
      </w:pPr>
      <w:r>
        <w:rPr>
          <w:rFonts w:ascii="David" w:hAnsi="David" w:cs="David"/>
          <w:sz w:val="24"/>
          <w:szCs w:val="24"/>
          <w:rtl/>
        </w:rPr>
        <w:t xml:space="preserve">על כך שמסמכי ההעדפה הם תנאי, בלעדיו אין, לקבלת הפטור ממכס – ניתן ללמוד אף מפסק הדין בבג"צ 2047/21, </w:t>
      </w:r>
      <w:r>
        <w:rPr>
          <w:rFonts w:ascii="David" w:hAnsi="David" w:cs="David"/>
          <w:sz w:val="24"/>
          <w:szCs w:val="24"/>
          <w:u w:val="single"/>
          <w:rtl/>
        </w:rPr>
        <w:t>מרדכי ברנס נגד מדינת ישראל רשות המיסים מינהל המכס</w:t>
      </w:r>
      <w:r>
        <w:rPr>
          <w:rFonts w:ascii="David" w:hAnsi="David" w:cs="David"/>
          <w:sz w:val="24"/>
          <w:szCs w:val="24"/>
          <w:rtl/>
        </w:rPr>
        <w:t xml:space="preserve">  (מיום 14/7/2021, הש' ע' פוגלמן, י' אלרון, ע' גרוסקופף). בפסק הדין, שניתן לאחר הגשת שתי התביעות כאן, נקבע במפורש כי </w:t>
      </w:r>
      <w:r>
        <w:rPr>
          <w:rFonts w:ascii="David" w:hAnsi="David" w:cs="David"/>
          <w:b/>
          <w:bCs/>
          <w:sz w:val="24"/>
          <w:szCs w:val="24"/>
          <w:rtl/>
        </w:rPr>
        <w:t>"מסמכי העדפה" מקימים את זכותו של היבואן לקבל פטור ממכס או ליהנות משיעורי מכס מופחתים"</w:t>
      </w:r>
      <w:r>
        <w:rPr>
          <w:rFonts w:ascii="David" w:hAnsi="David" w:cs="David"/>
          <w:sz w:val="24"/>
          <w:szCs w:val="24"/>
          <w:rtl/>
        </w:rPr>
        <w:t>. באותו מקרה העלה העותר שורה של טענות אשר עיקרן תואם לטענות שהעלתה בעניינינו התובעת. ניתן להפנות לתיאור טענות העותר בבג"צ 2047/21, על מנת להראות את הדמיון בין ההליך בעתירה לבין פסק הדין כאן. וכך תוארו טענות העותר בבג"צ 2047/21 (ההדגשות לא במקור):</w:t>
      </w:r>
    </w:p>
    <w:p w:rsidR="00133D01" w:rsidRDefault="00133D01" w:rsidP="00953198">
      <w:pPr>
        <w:pStyle w:val="ad"/>
        <w:spacing w:line="360" w:lineRule="auto"/>
        <w:ind w:left="1218"/>
        <w:jc w:val="both"/>
        <w:rPr>
          <w:rFonts w:ascii="David" w:hAnsi="David" w:cs="David"/>
          <w:b/>
          <w:bCs/>
          <w:sz w:val="24"/>
          <w:szCs w:val="24"/>
          <w:rtl/>
        </w:rPr>
      </w:pPr>
      <w:r>
        <w:rPr>
          <w:rFonts w:ascii="David" w:hAnsi="David" w:cs="David" w:hint="cs"/>
          <w:b/>
          <w:bCs/>
          <w:sz w:val="24"/>
          <w:szCs w:val="24"/>
          <w:rtl/>
        </w:rPr>
        <w:t>"</w:t>
      </w:r>
      <w:r w:rsidR="003F620D">
        <w:rPr>
          <w:rFonts w:ascii="David" w:hAnsi="David" w:cs="David"/>
          <w:b/>
          <w:bCs/>
          <w:sz w:val="24"/>
          <w:szCs w:val="24"/>
          <w:rtl/>
        </w:rPr>
        <w:t xml:space="preserve">בכל הנוגע לנושא העתירה הנוכחית מבקש העותר כי בית משפט זה יורה למשיב לבטל את החלטתו בדבר דרישת מסמכי העדפה ולהותיר על כנו את המצב שהיה טרם שינוי הנוהל. לשיטתו של העותר, </w:t>
      </w:r>
      <w:r w:rsidR="003F620D">
        <w:rPr>
          <w:rFonts w:ascii="David" w:hAnsi="David" w:cs="David"/>
          <w:b/>
          <w:bCs/>
          <w:sz w:val="24"/>
          <w:szCs w:val="24"/>
          <w:u w:val="single"/>
          <w:rtl/>
        </w:rPr>
        <w:t>המשיב עשה שימוש שרירותי בסמכותו</w:t>
      </w:r>
      <w:r w:rsidR="003F620D">
        <w:rPr>
          <w:rFonts w:ascii="David" w:hAnsi="David" w:cs="David"/>
          <w:b/>
          <w:bCs/>
          <w:sz w:val="24"/>
          <w:szCs w:val="24"/>
          <w:rtl/>
        </w:rPr>
        <w:t xml:space="preserve">, וכי הנימוק לפיו מקור כלי הרכב לא ניתן לזיהוי לפי </w:t>
      </w:r>
      <w:r w:rsidR="003F620D">
        <w:rPr>
          <w:rFonts w:ascii="David" w:hAnsi="David" w:cs="David"/>
          <w:b/>
          <w:bCs/>
          <w:sz w:val="24"/>
          <w:szCs w:val="24"/>
          <w:u w:val="single"/>
          <w:rtl/>
        </w:rPr>
        <w:t>מספר השלדה</w:t>
      </w:r>
      <w:r w:rsidR="003F620D">
        <w:rPr>
          <w:rFonts w:ascii="David" w:hAnsi="David" w:cs="David"/>
          <w:b/>
          <w:bCs/>
          <w:sz w:val="24"/>
          <w:szCs w:val="24"/>
          <w:rtl/>
        </w:rPr>
        <w:t xml:space="preserve"> הינו שגוי.</w:t>
      </w:r>
      <w:r>
        <w:rPr>
          <w:rFonts w:ascii="David" w:hAnsi="David" w:cs="David" w:hint="cs"/>
          <w:b/>
          <w:bCs/>
          <w:sz w:val="24"/>
          <w:szCs w:val="24"/>
          <w:rtl/>
        </w:rPr>
        <w:t>"</w:t>
      </w:r>
      <w:r w:rsidR="003F620D">
        <w:rPr>
          <w:rFonts w:ascii="David" w:hAnsi="David" w:cs="David"/>
          <w:b/>
          <w:bCs/>
          <w:sz w:val="24"/>
          <w:szCs w:val="24"/>
          <w:rtl/>
        </w:rPr>
        <w:t xml:space="preserve"> </w:t>
      </w:r>
    </w:p>
    <w:p w:rsidR="00133D01" w:rsidRPr="00133D01" w:rsidRDefault="00133D01" w:rsidP="00133D01">
      <w:pPr>
        <w:pStyle w:val="ad"/>
        <w:spacing w:line="360" w:lineRule="auto"/>
        <w:ind w:left="793"/>
        <w:jc w:val="both"/>
        <w:rPr>
          <w:rFonts w:ascii="David" w:hAnsi="David" w:cs="David"/>
          <w:sz w:val="24"/>
          <w:szCs w:val="24"/>
          <w:rtl/>
        </w:rPr>
      </w:pPr>
      <w:r w:rsidRPr="00133D01">
        <w:rPr>
          <w:rFonts w:ascii="David" w:hAnsi="David" w:cs="David" w:hint="cs"/>
          <w:sz w:val="24"/>
          <w:szCs w:val="24"/>
          <w:rtl/>
        </w:rPr>
        <w:t>ובהמשך:</w:t>
      </w:r>
    </w:p>
    <w:p w:rsidR="00133D01" w:rsidRDefault="00133D01" w:rsidP="0059699C">
      <w:pPr>
        <w:pStyle w:val="ad"/>
        <w:spacing w:line="360" w:lineRule="auto"/>
        <w:ind w:left="1218"/>
        <w:jc w:val="both"/>
        <w:rPr>
          <w:rFonts w:ascii="David" w:hAnsi="David" w:cs="David"/>
          <w:b/>
          <w:bCs/>
          <w:sz w:val="24"/>
          <w:szCs w:val="24"/>
          <w:rtl/>
        </w:rPr>
      </w:pPr>
      <w:r>
        <w:rPr>
          <w:rFonts w:ascii="David" w:hAnsi="David" w:cs="David" w:hint="cs"/>
          <w:b/>
          <w:bCs/>
          <w:sz w:val="24"/>
          <w:szCs w:val="24"/>
          <w:rtl/>
        </w:rPr>
        <w:t>"</w:t>
      </w:r>
      <w:r w:rsidR="003F620D">
        <w:rPr>
          <w:rFonts w:ascii="David" w:hAnsi="David" w:cs="David"/>
          <w:b/>
          <w:bCs/>
          <w:sz w:val="24"/>
          <w:szCs w:val="24"/>
          <w:rtl/>
        </w:rPr>
        <w:t xml:space="preserve">עוד טוען העותר כי </w:t>
      </w:r>
      <w:r w:rsidR="003F620D">
        <w:rPr>
          <w:rFonts w:ascii="David" w:hAnsi="David" w:cs="David"/>
          <w:b/>
          <w:bCs/>
          <w:sz w:val="24"/>
          <w:szCs w:val="24"/>
          <w:u w:val="single"/>
          <w:rtl/>
        </w:rPr>
        <w:t>במקרה של רכב משומש לא ניתן להשיג מסמכי העדפה</w:t>
      </w:r>
      <w:r w:rsidR="003F620D">
        <w:rPr>
          <w:rFonts w:ascii="David" w:hAnsi="David" w:cs="David"/>
          <w:b/>
          <w:bCs/>
          <w:sz w:val="24"/>
          <w:szCs w:val="24"/>
          <w:rtl/>
        </w:rPr>
        <w:t xml:space="preserve"> (אולם אין הוא מפרט מדוע); כי המשיב לא פירט את סעיפי הסכמי הסחר שעמדו בבסיס החלטתו; כי המשיב התעלם מבקשות העותר לקבלת מידע וערעור על ההחלטה; כי </w:t>
      </w:r>
      <w:r w:rsidR="003F620D">
        <w:rPr>
          <w:rFonts w:ascii="David" w:hAnsi="David" w:cs="David"/>
          <w:b/>
          <w:bCs/>
          <w:sz w:val="24"/>
          <w:szCs w:val="24"/>
          <w:u w:val="single"/>
          <w:rtl/>
        </w:rPr>
        <w:t>מקרים של חוסר התאמה בין מספר השלדה לבין מקור הרכב הם נדירים מאוד</w:t>
      </w:r>
      <w:r w:rsidR="003F620D">
        <w:rPr>
          <w:rFonts w:ascii="David" w:hAnsi="David" w:cs="David"/>
          <w:b/>
          <w:bCs/>
          <w:sz w:val="24"/>
          <w:szCs w:val="24"/>
          <w:rtl/>
        </w:rPr>
        <w:t xml:space="preserve">; כי </w:t>
      </w:r>
      <w:r w:rsidR="003F620D">
        <w:rPr>
          <w:rFonts w:ascii="David" w:hAnsi="David" w:cs="David"/>
          <w:b/>
          <w:bCs/>
          <w:sz w:val="24"/>
          <w:szCs w:val="24"/>
          <w:u w:val="single"/>
          <w:rtl/>
        </w:rPr>
        <w:t>בידי המשיב נתונים לגבי כלי רכב זהים המיובאים על ידי יבואנים מסחריים</w:t>
      </w:r>
      <w:r w:rsidR="003F620D">
        <w:rPr>
          <w:rFonts w:ascii="David" w:hAnsi="David" w:cs="David"/>
          <w:b/>
          <w:bCs/>
          <w:sz w:val="24"/>
          <w:szCs w:val="24"/>
          <w:rtl/>
        </w:rPr>
        <w:t xml:space="preserve"> המאפשרים לו לזהות את ארץ המקור</w:t>
      </w:r>
      <w:r w:rsidR="003F620D">
        <w:rPr>
          <w:rFonts w:ascii="David" w:hAnsi="David" w:cs="David"/>
          <w:b/>
          <w:bCs/>
          <w:sz w:val="24"/>
          <w:szCs w:val="24"/>
        </w:rPr>
        <w:t xml:space="preserve"> </w:t>
      </w:r>
      <w:r w:rsidR="003F620D">
        <w:rPr>
          <w:rFonts w:ascii="David" w:hAnsi="David" w:cs="David"/>
          <w:b/>
          <w:bCs/>
          <w:sz w:val="24"/>
          <w:szCs w:val="24"/>
          <w:rtl/>
        </w:rPr>
        <w:t xml:space="preserve">של כלי הרכב; כי </w:t>
      </w:r>
      <w:r w:rsidR="003F620D">
        <w:rPr>
          <w:rFonts w:ascii="David" w:hAnsi="David" w:cs="David"/>
          <w:b/>
          <w:bCs/>
          <w:sz w:val="24"/>
          <w:szCs w:val="24"/>
          <w:u w:val="single"/>
          <w:rtl/>
        </w:rPr>
        <w:t>ההחלטה פוגעת בתחרות בענף הרכב</w:t>
      </w:r>
      <w:r>
        <w:rPr>
          <w:rFonts w:ascii="David" w:hAnsi="David" w:cs="David"/>
          <w:b/>
          <w:bCs/>
          <w:sz w:val="24"/>
          <w:szCs w:val="24"/>
          <w:rtl/>
        </w:rPr>
        <w:t>;</w:t>
      </w:r>
      <w:r>
        <w:rPr>
          <w:rFonts w:ascii="David" w:hAnsi="David" w:cs="David" w:hint="cs"/>
          <w:b/>
          <w:bCs/>
          <w:sz w:val="24"/>
          <w:szCs w:val="24"/>
          <w:rtl/>
        </w:rPr>
        <w:t>"</w:t>
      </w:r>
    </w:p>
    <w:p w:rsidR="00133D01" w:rsidRPr="00133D01" w:rsidRDefault="00133D01" w:rsidP="00133D01">
      <w:pPr>
        <w:pStyle w:val="ad"/>
        <w:spacing w:line="360" w:lineRule="auto"/>
        <w:ind w:left="793"/>
        <w:jc w:val="both"/>
        <w:rPr>
          <w:rFonts w:ascii="David" w:hAnsi="David" w:cs="David"/>
          <w:sz w:val="24"/>
          <w:szCs w:val="24"/>
          <w:rtl/>
        </w:rPr>
      </w:pPr>
      <w:r>
        <w:rPr>
          <w:rFonts w:ascii="David" w:hAnsi="David" w:cs="David" w:hint="cs"/>
          <w:sz w:val="24"/>
          <w:szCs w:val="24"/>
          <w:rtl/>
        </w:rPr>
        <w:t>ועוד בהמשך:</w:t>
      </w:r>
    </w:p>
    <w:p w:rsidR="003F620D" w:rsidRDefault="00133D01" w:rsidP="0059699C">
      <w:pPr>
        <w:pStyle w:val="ad"/>
        <w:spacing w:line="360" w:lineRule="auto"/>
        <w:ind w:left="1218"/>
        <w:jc w:val="both"/>
        <w:rPr>
          <w:rFonts w:ascii="David" w:hAnsi="David" w:cs="David"/>
          <w:b/>
          <w:bCs/>
          <w:sz w:val="24"/>
          <w:szCs w:val="24"/>
          <w:rtl/>
        </w:rPr>
      </w:pPr>
      <w:r>
        <w:rPr>
          <w:rFonts w:ascii="David" w:hAnsi="David" w:cs="David" w:hint="cs"/>
          <w:b/>
          <w:bCs/>
          <w:sz w:val="24"/>
          <w:szCs w:val="24"/>
          <w:rtl/>
        </w:rPr>
        <w:t>"</w:t>
      </w:r>
      <w:r w:rsidR="003F620D">
        <w:rPr>
          <w:rFonts w:ascii="David" w:hAnsi="David" w:cs="David"/>
          <w:b/>
          <w:bCs/>
          <w:sz w:val="24"/>
          <w:szCs w:val="24"/>
          <w:rtl/>
        </w:rPr>
        <w:t xml:space="preserve">כי </w:t>
      </w:r>
      <w:r w:rsidR="003F620D">
        <w:rPr>
          <w:rFonts w:ascii="David" w:hAnsi="David" w:cs="David"/>
          <w:b/>
          <w:bCs/>
          <w:sz w:val="24"/>
          <w:szCs w:val="24"/>
          <w:u w:val="single"/>
          <w:rtl/>
        </w:rPr>
        <w:t>ההחלטה מפלה</w:t>
      </w:r>
      <w:r w:rsidR="003F620D">
        <w:rPr>
          <w:rFonts w:ascii="David" w:hAnsi="David" w:cs="David"/>
          <w:b/>
          <w:bCs/>
          <w:sz w:val="24"/>
          <w:szCs w:val="24"/>
          <w:rtl/>
        </w:rPr>
        <w:t xml:space="preserve"> בין יבואנים מסחריים (שאין להם קושי להשיג מסמכי העדפה) לבין אנשים שמבקשים לייבא רכבים באופן אישי (שאינם יכולים לדבריו להציג מסמכי העדפה), ו</w:t>
      </w:r>
      <w:r w:rsidR="003F620D">
        <w:rPr>
          <w:rFonts w:ascii="David" w:hAnsi="David" w:cs="David"/>
          <w:b/>
          <w:bCs/>
          <w:sz w:val="24"/>
          <w:szCs w:val="24"/>
          <w:u w:val="single"/>
          <w:rtl/>
        </w:rPr>
        <w:t>נועדה לשרת את האינטרסים של היבואנים המסחריים</w:t>
      </w:r>
      <w:r w:rsidR="003F620D">
        <w:rPr>
          <w:rFonts w:ascii="David" w:hAnsi="David" w:cs="David"/>
          <w:b/>
          <w:bCs/>
          <w:sz w:val="24"/>
          <w:szCs w:val="24"/>
          <w:rtl/>
        </w:rPr>
        <w:t>; וכי ההחלטה מייקרת את עלות כלי הרכב המשומשים המיובאים בי</w:t>
      </w:r>
      <w:r>
        <w:rPr>
          <w:rFonts w:ascii="David" w:hAnsi="David" w:cs="David"/>
          <w:b/>
          <w:bCs/>
          <w:sz w:val="24"/>
          <w:szCs w:val="24"/>
          <w:rtl/>
        </w:rPr>
        <w:t>בוא אישי בתוספת של עד 15% מערכם</w:t>
      </w:r>
      <w:r>
        <w:rPr>
          <w:rFonts w:ascii="David" w:hAnsi="David" w:cs="David" w:hint="cs"/>
          <w:b/>
          <w:bCs/>
          <w:sz w:val="24"/>
          <w:szCs w:val="24"/>
          <w:rtl/>
        </w:rPr>
        <w:t>"</w:t>
      </w:r>
    </w:p>
    <w:p w:rsidR="003F620D" w:rsidRDefault="003F620D" w:rsidP="003F620D">
      <w:pPr>
        <w:pStyle w:val="ad"/>
        <w:spacing w:line="360" w:lineRule="auto"/>
        <w:ind w:left="395"/>
        <w:jc w:val="both"/>
        <w:rPr>
          <w:rFonts w:ascii="David" w:hAnsi="David" w:cs="David"/>
          <w:sz w:val="24"/>
          <w:szCs w:val="24"/>
          <w:rtl/>
        </w:rPr>
      </w:pPr>
    </w:p>
    <w:p w:rsidR="003F620D" w:rsidRDefault="003F620D" w:rsidP="003F620D">
      <w:pPr>
        <w:pStyle w:val="ad"/>
        <w:spacing w:line="360" w:lineRule="auto"/>
        <w:ind w:left="755"/>
        <w:jc w:val="both"/>
        <w:rPr>
          <w:rFonts w:ascii="David" w:hAnsi="David" w:cs="David"/>
          <w:sz w:val="24"/>
          <w:szCs w:val="24"/>
          <w:rtl/>
        </w:rPr>
      </w:pPr>
      <w:r>
        <w:rPr>
          <w:rFonts w:ascii="David" w:hAnsi="David" w:cs="David"/>
          <w:sz w:val="24"/>
          <w:szCs w:val="24"/>
          <w:rtl/>
        </w:rPr>
        <w:t xml:space="preserve">ניתן לראות, אפוא, שטענות התובעת בתביעות כאן הן בגדר תלם משפטי חרוש. הטענות הועלו תוך התייחסות לשורה של נימוקים שונים, כגון הפליה, הפניה למספרי שילדות, מהותו של "מסמך העדפה" ועוד. ואולם בפועל – אף אחת מהטענות אינה יכולה לגבור על כך שהתובעת חסרה את המסמך המכונן והקונסטיטוטיבי  - קרי "מסמך העדפה" תקף. ואכן גם בבג"צ 2047/21, </w:t>
      </w:r>
      <w:r>
        <w:rPr>
          <w:rFonts w:ascii="David" w:hAnsi="David" w:cs="David"/>
          <w:sz w:val="24"/>
          <w:szCs w:val="24"/>
          <w:u w:val="single"/>
          <w:rtl/>
        </w:rPr>
        <w:t>מרדכי ברנס נגד מדינת ישראל רשות המיסים מינהל המכס</w:t>
      </w:r>
      <w:r>
        <w:rPr>
          <w:rFonts w:ascii="David" w:hAnsi="David" w:cs="David"/>
          <w:sz w:val="24"/>
          <w:szCs w:val="24"/>
          <w:rtl/>
        </w:rPr>
        <w:t xml:space="preserve"> הנזכר לעיל לא שלל בית המשפט את ההגיון שמאחורי טענות העותר ואולם עדיין נקבע שאין מקום להתערב ולקבוע פטר מחיובי מכס, וכלשון בית המשפט – </w:t>
      </w:r>
      <w:r>
        <w:rPr>
          <w:rFonts w:ascii="David" w:hAnsi="David" w:cs="David"/>
          <w:b/>
          <w:bCs/>
          <w:sz w:val="24"/>
          <w:szCs w:val="24"/>
          <w:rtl/>
        </w:rPr>
        <w:t>"אף אם נניח כי בהצעה כזו או אחרת שמעלה העותר יש הגיון, וכי אין טעם להכביד שלא לצורך על יבוא אישי של רכבים משומשים, אין בעתירה כל תשתית משפטית היכולה להצדיק התערבותו של בית משפט זה"</w:t>
      </w:r>
      <w:r>
        <w:rPr>
          <w:rFonts w:ascii="David" w:hAnsi="David" w:cs="David"/>
          <w:sz w:val="24"/>
          <w:szCs w:val="24"/>
          <w:rtl/>
        </w:rPr>
        <w:t>.</w:t>
      </w:r>
    </w:p>
    <w:p w:rsidR="003F620D" w:rsidRDefault="003F620D" w:rsidP="003F620D">
      <w:pPr>
        <w:pStyle w:val="ad"/>
        <w:spacing w:line="360" w:lineRule="auto"/>
        <w:ind w:left="395"/>
        <w:jc w:val="both"/>
        <w:rPr>
          <w:rFonts w:ascii="David" w:hAnsi="David" w:cs="David"/>
          <w:sz w:val="24"/>
          <w:szCs w:val="24"/>
          <w:rtl/>
        </w:rPr>
      </w:pPr>
    </w:p>
    <w:p w:rsidR="003F620D" w:rsidRDefault="003F620D" w:rsidP="003F620D">
      <w:pPr>
        <w:pStyle w:val="ad"/>
        <w:numPr>
          <w:ilvl w:val="0"/>
          <w:numId w:val="10"/>
        </w:numPr>
        <w:spacing w:line="360" w:lineRule="auto"/>
        <w:jc w:val="both"/>
        <w:rPr>
          <w:rFonts w:ascii="David" w:hAnsi="David" w:cs="David"/>
          <w:sz w:val="24"/>
          <w:szCs w:val="24"/>
          <w:rtl/>
        </w:rPr>
      </w:pPr>
      <w:r>
        <w:rPr>
          <w:rFonts w:ascii="David" w:hAnsi="David" w:cs="David"/>
          <w:sz w:val="24"/>
          <w:szCs w:val="24"/>
          <w:rtl/>
        </w:rPr>
        <w:t xml:space="preserve">גם לפני פסק הדין בבג"צ 2047/21, </w:t>
      </w:r>
      <w:r>
        <w:rPr>
          <w:rFonts w:ascii="David" w:hAnsi="David" w:cs="David"/>
          <w:sz w:val="24"/>
          <w:szCs w:val="24"/>
          <w:u w:val="single"/>
          <w:rtl/>
        </w:rPr>
        <w:t>מרדכי ברנס נגד מדינת ישראל רשות המיסים מינהל המכס</w:t>
      </w:r>
      <w:r>
        <w:rPr>
          <w:rFonts w:ascii="David" w:hAnsi="David" w:cs="David"/>
          <w:sz w:val="24"/>
          <w:szCs w:val="24"/>
          <w:rtl/>
        </w:rPr>
        <w:t xml:space="preserve"> נפסק ביחס למסמכי העדפה, ותעודות הנדרשות על ידי המכס הן בגדר </w:t>
      </w:r>
      <w:r>
        <w:rPr>
          <w:rFonts w:ascii="David" w:hAnsi="David" w:cs="David"/>
          <w:b/>
          <w:bCs/>
          <w:sz w:val="24"/>
          <w:szCs w:val="24"/>
          <w:rtl/>
        </w:rPr>
        <w:t>"מסמך קונסטיטוטיבי המכונן את הפטור ממכס ובלעדיו לא יכול היבואן להנות מפטור ממכס, אף אם הוכיח כי הטובים יוצרו במדינה שטובין המיובאים ממנה זכאים, עפ"י הסכמי הסחר לפטור מסחר"</w:t>
      </w:r>
      <w:r>
        <w:rPr>
          <w:rFonts w:ascii="David" w:hAnsi="David" w:cs="David"/>
          <w:sz w:val="24"/>
          <w:szCs w:val="24"/>
          <w:rtl/>
        </w:rPr>
        <w:t xml:space="preserve">, ור' </w:t>
      </w:r>
      <w:r>
        <w:rPr>
          <w:rFonts w:ascii="David" w:hAnsi="David" w:cs="David"/>
          <w:color w:val="000000"/>
          <w:sz w:val="24"/>
          <w:szCs w:val="24"/>
          <w:rtl/>
        </w:rPr>
        <w:t xml:space="preserve">תא (ראשל"צ) 27667-05-17‏ ‏ </w:t>
      </w:r>
      <w:r>
        <w:rPr>
          <w:rFonts w:ascii="David" w:hAnsi="David" w:cs="David"/>
          <w:color w:val="000000"/>
          <w:sz w:val="24"/>
          <w:szCs w:val="24"/>
          <w:u w:val="single"/>
          <w:rtl/>
        </w:rPr>
        <w:t>א.פ.י. חורי הפצה בע"מ נ' מדינת ישראל אגף המכס ומע"מ</w:t>
      </w:r>
      <w:r>
        <w:rPr>
          <w:rFonts w:ascii="David" w:hAnsi="David" w:cs="David"/>
          <w:sz w:val="24"/>
          <w:szCs w:val="24"/>
          <w:rtl/>
        </w:rPr>
        <w:t xml:space="preserve"> (הש' כ' בן אליעזר, מיום 11/5/2020).</w:t>
      </w:r>
    </w:p>
    <w:p w:rsidR="003F620D" w:rsidRDefault="003F620D" w:rsidP="003F620D">
      <w:pPr>
        <w:pStyle w:val="ad"/>
        <w:spacing w:line="360" w:lineRule="auto"/>
        <w:ind w:left="755"/>
        <w:jc w:val="both"/>
        <w:rPr>
          <w:rFonts w:ascii="David" w:hAnsi="David" w:cs="David"/>
          <w:sz w:val="24"/>
          <w:szCs w:val="24"/>
        </w:rPr>
      </w:pPr>
      <w:r>
        <w:rPr>
          <w:rFonts w:ascii="David" w:hAnsi="David" w:cs="David"/>
          <w:sz w:val="24"/>
          <w:szCs w:val="24"/>
          <w:rtl/>
        </w:rPr>
        <w:t>עוד ניתן להפנות אל פסיקת בית המשפט העליון ב</w:t>
      </w:r>
      <w:r>
        <w:rPr>
          <w:rFonts w:ascii="David" w:hAnsi="David" w:cs="David"/>
          <w:color w:val="000000"/>
          <w:sz w:val="24"/>
          <w:szCs w:val="24"/>
          <w:rtl/>
        </w:rPr>
        <w:t xml:space="preserve">ע"א 4814/09, </w:t>
      </w:r>
      <w:r>
        <w:rPr>
          <w:rFonts w:ascii="David" w:hAnsi="David" w:cs="David"/>
          <w:color w:val="000000"/>
          <w:sz w:val="24"/>
          <w:szCs w:val="24"/>
          <w:u w:val="single"/>
          <w:rtl/>
        </w:rPr>
        <w:t>טמפו תעשיות בירה בע"מ נ' מדינת ישראל</w:t>
      </w:r>
      <w:r>
        <w:rPr>
          <w:rFonts w:ascii="David" w:hAnsi="David" w:cs="David"/>
          <w:sz w:val="20"/>
          <w:szCs w:val="20"/>
          <w:rtl/>
        </w:rPr>
        <w:t xml:space="preserve"> </w:t>
      </w:r>
      <w:r>
        <w:rPr>
          <w:rFonts w:ascii="David" w:hAnsi="David" w:cs="David"/>
          <w:sz w:val="24"/>
          <w:szCs w:val="24"/>
          <w:rtl/>
        </w:rPr>
        <w:t xml:space="preserve">(הש' א' חיות, ע' פוגלמן, י' עמית מיום 22/12/2010); וכן ר' ת"א (מחוזי חיפה) </w:t>
      </w:r>
      <w:r>
        <w:rPr>
          <w:rFonts w:ascii="David" w:hAnsi="David" w:cs="David"/>
          <w:sz w:val="24"/>
          <w:szCs w:val="24"/>
          <w:u w:val="single"/>
          <w:rtl/>
        </w:rPr>
        <w:t>קליאופרטה בע"מ נגד מדינת ישראל אגף המכס</w:t>
      </w:r>
      <w:r>
        <w:rPr>
          <w:rFonts w:ascii="David" w:hAnsi="David" w:cs="David"/>
          <w:sz w:val="24"/>
          <w:szCs w:val="24"/>
          <w:rtl/>
        </w:rPr>
        <w:t xml:space="preserve"> (הש' י' עמית, מיום 2/8/2007, הטעות בשם התובעת במקור); וכן ניתן ללמוד מע"א (מחוזי מרכז) </w:t>
      </w:r>
      <w:r>
        <w:rPr>
          <w:rFonts w:ascii="David" w:hAnsi="David" w:cs="David"/>
          <w:sz w:val="24"/>
          <w:szCs w:val="24"/>
          <w:u w:val="single"/>
          <w:rtl/>
        </w:rPr>
        <w:t>גאמידה בע"מ נגד מדינת ישראל, רשות המיסים אגף המכס והמע"מ</w:t>
      </w:r>
      <w:r>
        <w:rPr>
          <w:rFonts w:ascii="David" w:hAnsi="David" w:cs="David"/>
          <w:sz w:val="24"/>
          <w:szCs w:val="24"/>
          <w:rtl/>
        </w:rPr>
        <w:t xml:space="preserve"> (מיום 10/11/2019, ס' נש', הש' יעקב שינמן, הש' חנה קיציס, הש' יסכה רוטנברג) וכן </w:t>
      </w:r>
      <w:bookmarkStart w:id="0" w:name="LastJudge"/>
      <w:r>
        <w:rPr>
          <w:rFonts w:ascii="David" w:hAnsi="David" w:cs="David"/>
          <w:color w:val="000000"/>
          <w:sz w:val="24"/>
          <w:szCs w:val="24"/>
          <w:rtl/>
        </w:rPr>
        <w:t xml:space="preserve">ע"א (י-ם) 56448-06-14‏, </w:t>
      </w:r>
      <w:r>
        <w:rPr>
          <w:rFonts w:ascii="David" w:hAnsi="David" w:cs="David"/>
          <w:color w:val="000000"/>
          <w:sz w:val="24"/>
          <w:szCs w:val="24"/>
          <w:u w:val="single"/>
          <w:rtl/>
        </w:rPr>
        <w:t>קומסקו בע"מ נ' מדינת ישראל - רשות המיסים- ירושלים‏</w:t>
      </w:r>
      <w:bookmarkEnd w:id="0"/>
      <w:r>
        <w:rPr>
          <w:rFonts w:ascii="David" w:hAnsi="David" w:cs="David"/>
          <w:sz w:val="24"/>
          <w:szCs w:val="24"/>
          <w:rtl/>
        </w:rPr>
        <w:t xml:space="preserve"> (מיום 12/5/2015, הש' כ' מוסק).</w:t>
      </w:r>
    </w:p>
    <w:p w:rsidR="003F620D" w:rsidRDefault="003F620D" w:rsidP="003F620D">
      <w:pPr>
        <w:pStyle w:val="ad"/>
        <w:spacing w:line="360" w:lineRule="auto"/>
        <w:ind w:left="395"/>
        <w:jc w:val="both"/>
        <w:rPr>
          <w:rFonts w:ascii="David" w:hAnsi="David" w:cs="David"/>
          <w:sz w:val="24"/>
          <w:szCs w:val="24"/>
          <w:rtl/>
        </w:rPr>
      </w:pPr>
    </w:p>
    <w:p w:rsidR="003F620D" w:rsidRDefault="003F620D" w:rsidP="003F620D">
      <w:pPr>
        <w:pStyle w:val="ad"/>
        <w:numPr>
          <w:ilvl w:val="1"/>
          <w:numId w:val="1"/>
        </w:numPr>
        <w:spacing w:line="360" w:lineRule="auto"/>
        <w:ind w:left="395" w:hanging="567"/>
        <w:jc w:val="both"/>
        <w:rPr>
          <w:rFonts w:ascii="David" w:hAnsi="David" w:cs="David"/>
          <w:sz w:val="24"/>
          <w:szCs w:val="24"/>
          <w:rtl/>
        </w:rPr>
      </w:pPr>
      <w:r>
        <w:rPr>
          <w:rFonts w:ascii="David" w:hAnsi="David" w:cs="David"/>
          <w:b/>
          <w:bCs/>
          <w:sz w:val="24"/>
          <w:szCs w:val="24"/>
          <w:u w:val="single"/>
          <w:rtl/>
        </w:rPr>
        <w:t>המקום להתמודד עמו בכל הקשור ל"מסמכי ההעדפה" הוא מדינת הייצוא</w:t>
      </w:r>
      <w:r>
        <w:rPr>
          <w:rFonts w:ascii="David" w:hAnsi="David" w:cs="David"/>
          <w:sz w:val="24"/>
          <w:szCs w:val="24"/>
          <w:rtl/>
        </w:rPr>
        <w:t xml:space="preserve"> </w:t>
      </w:r>
    </w:p>
    <w:p w:rsidR="003F620D" w:rsidRDefault="003F620D" w:rsidP="003F620D">
      <w:pPr>
        <w:pStyle w:val="ad"/>
        <w:numPr>
          <w:ilvl w:val="0"/>
          <w:numId w:val="11"/>
        </w:numPr>
        <w:spacing w:line="360" w:lineRule="auto"/>
        <w:jc w:val="both"/>
        <w:rPr>
          <w:rFonts w:ascii="David" w:hAnsi="David" w:cs="David"/>
          <w:sz w:val="24"/>
          <w:szCs w:val="24"/>
          <w:rtl/>
        </w:rPr>
      </w:pPr>
      <w:r>
        <w:rPr>
          <w:rFonts w:ascii="David" w:hAnsi="David" w:cs="David"/>
          <w:sz w:val="24"/>
          <w:szCs w:val="24"/>
          <w:rtl/>
        </w:rPr>
        <w:t xml:space="preserve">לא נעלמו מעיני טענותיה של התובעת לפיהן כלי הרכב שייבאה צריכים היו לעבור את מבחני האימות של "מסמכי ההעדפה". בהחלט אפשר והדבר נכון, ואולם המקום לבחון זאת הוא במדינה בה הופקו "מסמכי ההעדפה" ולא במדינות המייבאות את המוצרים. </w:t>
      </w:r>
    </w:p>
    <w:p w:rsidR="003F620D" w:rsidRDefault="003F620D" w:rsidP="003F620D">
      <w:pPr>
        <w:pStyle w:val="ad"/>
        <w:spacing w:line="360" w:lineRule="auto"/>
        <w:ind w:left="755"/>
        <w:jc w:val="both"/>
        <w:rPr>
          <w:rFonts w:ascii="David" w:hAnsi="David" w:cs="David"/>
          <w:sz w:val="24"/>
          <w:szCs w:val="24"/>
        </w:rPr>
      </w:pPr>
    </w:p>
    <w:p w:rsidR="003F620D" w:rsidRDefault="003F620D" w:rsidP="003F620D">
      <w:pPr>
        <w:pStyle w:val="ad"/>
        <w:numPr>
          <w:ilvl w:val="0"/>
          <w:numId w:val="11"/>
        </w:numPr>
        <w:spacing w:line="360" w:lineRule="auto"/>
        <w:jc w:val="both"/>
        <w:rPr>
          <w:rFonts w:ascii="David" w:hAnsi="David" w:cs="David"/>
          <w:sz w:val="24"/>
          <w:szCs w:val="24"/>
        </w:rPr>
      </w:pPr>
      <w:r>
        <w:rPr>
          <w:rFonts w:ascii="David" w:hAnsi="David" w:cs="David"/>
          <w:sz w:val="24"/>
          <w:szCs w:val="24"/>
          <w:rtl/>
        </w:rPr>
        <w:t xml:space="preserve">על כך שיש לפנות ולנהל את ההליכים במדינה המייצאת ניתן להפנות אל ת"א (מחוזי חיפה) </w:t>
      </w:r>
      <w:r>
        <w:rPr>
          <w:rFonts w:ascii="David" w:hAnsi="David" w:cs="David"/>
          <w:sz w:val="24"/>
          <w:szCs w:val="24"/>
          <w:u w:val="single"/>
          <w:rtl/>
        </w:rPr>
        <w:t>קליאופרטה בע"מ נגד מדינת ישראל אגף המכס</w:t>
      </w:r>
      <w:r>
        <w:rPr>
          <w:rFonts w:ascii="David" w:hAnsi="David" w:cs="David"/>
          <w:sz w:val="24"/>
          <w:szCs w:val="24"/>
          <w:rtl/>
        </w:rPr>
        <w:t xml:space="preserve"> הנזכר לעיל שם נקבע ביחס לבדיקה במדינה המייצאת כך – "</w:t>
      </w:r>
      <w:r>
        <w:rPr>
          <w:rFonts w:ascii="David" w:hAnsi="David" w:cs="David"/>
          <w:b/>
          <w:bCs/>
          <w:sz w:val="24"/>
          <w:szCs w:val="24"/>
          <w:rtl/>
        </w:rPr>
        <w:t xml:space="preserve">הטעם לדבר הוא, שעל פי הוראות הסכם הסחר, רשויות המכס במדינה </w:t>
      </w:r>
      <w:r>
        <w:rPr>
          <w:rFonts w:ascii="David" w:hAnsi="David" w:cs="David"/>
          <w:b/>
          <w:bCs/>
          <w:sz w:val="24"/>
          <w:szCs w:val="24"/>
          <w:u w:val="single"/>
          <w:rtl/>
        </w:rPr>
        <w:t>המייצאת</w:t>
      </w:r>
      <w:r>
        <w:rPr>
          <w:rFonts w:ascii="David" w:hAnsi="David" w:cs="David"/>
          <w:b/>
          <w:bCs/>
          <w:sz w:val="24"/>
          <w:szCs w:val="24"/>
          <w:rtl/>
        </w:rPr>
        <w:t xml:space="preserve"> הם המוסמכים לבחון ולהחליט אם הסחורה עומדת בכללי המקור". </w:t>
      </w:r>
      <w:r>
        <w:rPr>
          <w:rFonts w:ascii="David" w:hAnsi="David" w:cs="David"/>
          <w:sz w:val="24"/>
          <w:szCs w:val="24"/>
          <w:rtl/>
        </w:rPr>
        <w:t xml:space="preserve">ועוד נקבע (ההדגשות לא במקור) – </w:t>
      </w:r>
    </w:p>
    <w:p w:rsidR="003F620D" w:rsidRDefault="003F620D" w:rsidP="00133D01">
      <w:pPr>
        <w:pStyle w:val="ad"/>
        <w:spacing w:line="360" w:lineRule="auto"/>
        <w:ind w:left="1218"/>
        <w:jc w:val="both"/>
        <w:rPr>
          <w:rFonts w:ascii="David" w:hAnsi="David" w:cs="David"/>
          <w:sz w:val="24"/>
          <w:szCs w:val="24"/>
        </w:rPr>
      </w:pPr>
      <w:r>
        <w:rPr>
          <w:rFonts w:ascii="David" w:hAnsi="David" w:cs="David"/>
          <w:b/>
          <w:bCs/>
          <w:sz w:val="24"/>
          <w:szCs w:val="24"/>
          <w:rtl/>
        </w:rPr>
        <w:t xml:space="preserve">"כללי המקור הם סבוכים ומורכבים ומפנים לתהליך הייצור ולייבוא חומרי הגלם של הסחורה. </w:t>
      </w:r>
      <w:r>
        <w:rPr>
          <w:rFonts w:ascii="David" w:hAnsi="David" w:cs="David"/>
          <w:b/>
          <w:bCs/>
          <w:sz w:val="24"/>
          <w:szCs w:val="24"/>
          <w:u w:val="single"/>
          <w:rtl/>
        </w:rPr>
        <w:t>השאלה אם הסחורה עומדת באותם כללים אמורה, ככלל, להיבחן ולהיחקר בשטחה של המדינה המייצאת</w:t>
      </w:r>
      <w:r>
        <w:rPr>
          <w:rFonts w:ascii="David" w:hAnsi="David" w:cs="David"/>
          <w:b/>
          <w:bCs/>
          <w:sz w:val="24"/>
          <w:szCs w:val="24"/>
          <w:rtl/>
        </w:rPr>
        <w:t>... הנחת המוצא היא, שלמדינה המייצאת יש דווקא אינטרס לעודד את היצרנים/יצואנים שבתחומה, ולא את גביית מיסי היבוא במדינה המייבאת. לכן, יש להניח שפסילה של תעודות תנועה בדיעבד, תיעשה על ידי רשויות המכס במדינה המייצאת בזהירות ולאחר שיקול דעת ובדיקה נאותה"</w:t>
      </w:r>
    </w:p>
    <w:p w:rsidR="00953198" w:rsidRDefault="00953198" w:rsidP="003F620D">
      <w:pPr>
        <w:pStyle w:val="ad"/>
        <w:spacing w:line="360" w:lineRule="auto"/>
        <w:ind w:left="395"/>
        <w:jc w:val="both"/>
        <w:rPr>
          <w:rFonts w:ascii="David" w:hAnsi="David" w:cs="David"/>
          <w:sz w:val="24"/>
          <w:szCs w:val="24"/>
          <w:rtl/>
        </w:rPr>
      </w:pPr>
    </w:p>
    <w:p w:rsidR="003F620D" w:rsidRDefault="003F620D" w:rsidP="003F620D">
      <w:pPr>
        <w:pStyle w:val="ad"/>
        <w:spacing w:line="360" w:lineRule="auto"/>
        <w:ind w:left="395"/>
        <w:jc w:val="both"/>
        <w:rPr>
          <w:rFonts w:ascii="David" w:hAnsi="David" w:cs="David"/>
          <w:b/>
          <w:bCs/>
          <w:sz w:val="24"/>
          <w:szCs w:val="24"/>
          <w:rtl/>
        </w:rPr>
      </w:pPr>
      <w:r>
        <w:rPr>
          <w:rFonts w:ascii="David" w:hAnsi="David" w:cs="David"/>
          <w:sz w:val="24"/>
          <w:szCs w:val="24"/>
          <w:rtl/>
        </w:rPr>
        <w:t>ועוד ביחס לפניה ולהליך משפטי במדינה המייצאת נקבע כך (ההדגשות לא במקור):</w:t>
      </w:r>
    </w:p>
    <w:p w:rsidR="003F620D" w:rsidRDefault="003F620D" w:rsidP="00133D01">
      <w:pPr>
        <w:pStyle w:val="ad"/>
        <w:spacing w:line="360" w:lineRule="auto"/>
        <w:ind w:left="1218"/>
        <w:jc w:val="both"/>
        <w:rPr>
          <w:rFonts w:ascii="Times New Roman" w:eastAsia="Times New Roman" w:hAnsi="Times New Roman" w:cs="Times New Roman"/>
          <w:sz w:val="20"/>
          <w:szCs w:val="20"/>
          <w:rtl/>
        </w:rPr>
      </w:pPr>
      <w:r>
        <w:rPr>
          <w:rFonts w:ascii="David" w:eastAsia="Times New Roman" w:hAnsi="David" w:cs="David"/>
          <w:b/>
          <w:bCs/>
          <w:sz w:val="24"/>
          <w:szCs w:val="24"/>
          <w:rtl/>
        </w:rPr>
        <w:t xml:space="preserve">"תעודות התנועה הם מעין מסמך "קונסטיטוטיבי" המקים את זכותה של התובעת לקבלת פטור ממכס. משנפסלו התעודות, הדרך העומדת בפני התובעת היא  לשכנע את </w:t>
      </w:r>
      <w:r>
        <w:rPr>
          <w:rFonts w:ascii="David" w:eastAsia="Times New Roman" w:hAnsi="David" w:cs="David"/>
          <w:b/>
          <w:bCs/>
          <w:sz w:val="24"/>
          <w:szCs w:val="24"/>
          <w:rtl/>
        </w:rPr>
        <w:lastRenderedPageBreak/>
        <w:t xml:space="preserve">רשויות המכס באיטליה להחזיר את חותם "הכשרות" לתעודת אלו. </w:t>
      </w:r>
      <w:r>
        <w:rPr>
          <w:rFonts w:ascii="David" w:eastAsia="Times New Roman" w:hAnsi="David" w:cs="David"/>
          <w:b/>
          <w:bCs/>
          <w:sz w:val="24"/>
          <w:szCs w:val="24"/>
          <w:u w:val="single"/>
          <w:rtl/>
        </w:rPr>
        <w:t>כל עוד הדבר לא נעשה, הראיות שהביאה התובעת להוכחת מקור הסחורה אינן מעלות ואינן מורידות</w:t>
      </w:r>
      <w:r>
        <w:rPr>
          <w:rFonts w:ascii="David" w:eastAsia="Times New Roman" w:hAnsi="David" w:cs="David"/>
          <w:b/>
          <w:bCs/>
          <w:sz w:val="24"/>
          <w:szCs w:val="24"/>
          <w:rtl/>
        </w:rPr>
        <w:t>"</w:t>
      </w:r>
      <w:r>
        <w:rPr>
          <w:rFonts w:ascii="David" w:eastAsia="Times New Roman" w:hAnsi="David" w:cs="David"/>
          <w:sz w:val="24"/>
          <w:szCs w:val="24"/>
          <w:rtl/>
        </w:rPr>
        <w:t xml:space="preserve"> </w:t>
      </w:r>
    </w:p>
    <w:p w:rsidR="003F620D" w:rsidRDefault="003F620D" w:rsidP="003F620D">
      <w:pPr>
        <w:spacing w:line="360" w:lineRule="auto"/>
        <w:ind w:left="720"/>
        <w:jc w:val="both"/>
        <w:rPr>
          <w:rFonts w:cs="Times New Roman"/>
          <w:sz w:val="20"/>
          <w:szCs w:val="20"/>
        </w:rPr>
      </w:pPr>
      <w:r>
        <w:rPr>
          <w:rFonts w:ascii="David" w:hAnsi="David"/>
          <w:rtl/>
        </w:rPr>
        <w:t> </w:t>
      </w:r>
    </w:p>
    <w:p w:rsidR="003F620D" w:rsidRDefault="003F620D" w:rsidP="003F620D">
      <w:pPr>
        <w:pStyle w:val="ad"/>
        <w:spacing w:line="360" w:lineRule="auto"/>
        <w:ind w:left="395"/>
        <w:jc w:val="both"/>
        <w:rPr>
          <w:rFonts w:ascii="David" w:eastAsia="Times New Roman" w:hAnsi="David" w:cs="David"/>
          <w:sz w:val="20"/>
          <w:szCs w:val="20"/>
          <w:rtl/>
        </w:rPr>
      </w:pPr>
      <w:r>
        <w:rPr>
          <w:rFonts w:ascii="David" w:eastAsia="Times New Roman" w:hAnsi="David" w:cs="David"/>
          <w:sz w:val="24"/>
          <w:szCs w:val="24"/>
          <w:rtl/>
        </w:rPr>
        <w:t>ובמילים פשוטות – אין מקום לדון ולהרחיב בראיות "להוכחת מקור הסחורה", אלא יש לרכז את המאמץ במדינת הייצוא ולקבל את "חותם הכשרות" באותה מדינה מייצאת ולא בהליך משפטי במדינה המייבאת, קרי – לא בהליך משפטי בבית המשפט כאן בישראל.</w:t>
      </w:r>
    </w:p>
    <w:p w:rsidR="003F620D" w:rsidRDefault="003F620D" w:rsidP="003F620D">
      <w:pPr>
        <w:pStyle w:val="ad"/>
        <w:spacing w:line="360" w:lineRule="auto"/>
        <w:ind w:left="395"/>
        <w:jc w:val="both"/>
        <w:rPr>
          <w:rFonts w:ascii="David" w:hAnsi="David" w:cs="David"/>
          <w:sz w:val="24"/>
          <w:szCs w:val="24"/>
          <w:rtl/>
        </w:rPr>
      </w:pPr>
    </w:p>
    <w:p w:rsidR="003F620D" w:rsidRDefault="003F620D" w:rsidP="003F620D">
      <w:pPr>
        <w:pStyle w:val="ad"/>
        <w:numPr>
          <w:ilvl w:val="1"/>
          <w:numId w:val="1"/>
        </w:numPr>
        <w:spacing w:line="360" w:lineRule="auto"/>
        <w:ind w:left="395" w:hanging="567"/>
        <w:jc w:val="both"/>
        <w:rPr>
          <w:rFonts w:ascii="David" w:hAnsi="David" w:cs="David"/>
          <w:b/>
          <w:bCs/>
          <w:sz w:val="24"/>
          <w:szCs w:val="24"/>
          <w:u w:val="single"/>
          <w:rtl/>
        </w:rPr>
      </w:pPr>
      <w:r>
        <w:rPr>
          <w:rFonts w:ascii="David" w:hAnsi="David" w:cs="David"/>
          <w:b/>
          <w:bCs/>
          <w:sz w:val="24"/>
          <w:szCs w:val="24"/>
          <w:u w:val="single"/>
          <w:rtl/>
        </w:rPr>
        <w:t>סוף דבר ביחס לשאלה הראשונה משתיים – התובעת אינה זכאית לפטור מחיובי מכס</w:t>
      </w:r>
    </w:p>
    <w:p w:rsidR="003F620D" w:rsidRDefault="003F620D" w:rsidP="003F620D">
      <w:pPr>
        <w:pStyle w:val="ad"/>
        <w:spacing w:line="360" w:lineRule="auto"/>
        <w:ind w:left="395"/>
        <w:jc w:val="both"/>
        <w:rPr>
          <w:rFonts w:ascii="David" w:hAnsi="David" w:cs="David"/>
          <w:sz w:val="24"/>
          <w:szCs w:val="24"/>
        </w:rPr>
      </w:pPr>
      <w:r>
        <w:rPr>
          <w:rFonts w:ascii="David" w:hAnsi="David" w:cs="David"/>
          <w:sz w:val="24"/>
          <w:szCs w:val="24"/>
          <w:rtl/>
        </w:rPr>
        <w:t>מכל האמור לעיל עולה שכאשר התובעת לא המציאה מסמכי העדפה, או כאשר המציאה מסמכי העדפה ואלה לא אומתו – הרי היא אינה זכאית לפטור מחיובי המכס. מכאן, ממילא אין לקבל את דרישתה לסעד הצהרתי לפיו הודעות החיוב שהוצאו ופורטו בשני כתבי התביעה – הוצאו שלא כדין.</w:t>
      </w:r>
    </w:p>
    <w:p w:rsidR="003F620D" w:rsidRDefault="003F620D" w:rsidP="003F620D">
      <w:pPr>
        <w:pStyle w:val="ad"/>
        <w:spacing w:line="360" w:lineRule="auto"/>
        <w:ind w:left="395"/>
        <w:jc w:val="both"/>
        <w:rPr>
          <w:rFonts w:ascii="David" w:hAnsi="David" w:cs="David"/>
          <w:sz w:val="24"/>
          <w:szCs w:val="24"/>
        </w:rPr>
      </w:pPr>
    </w:p>
    <w:p w:rsidR="003F620D" w:rsidRDefault="003F620D" w:rsidP="003F620D">
      <w:pPr>
        <w:pStyle w:val="ad"/>
        <w:spacing w:line="360" w:lineRule="auto"/>
        <w:ind w:left="-598"/>
        <w:jc w:val="both"/>
        <w:rPr>
          <w:rFonts w:ascii="David" w:hAnsi="David" w:cs="David"/>
          <w:b/>
          <w:bCs/>
          <w:sz w:val="24"/>
          <w:szCs w:val="24"/>
          <w:rtl/>
        </w:rPr>
      </w:pPr>
      <w:r>
        <w:rPr>
          <w:rFonts w:ascii="David" w:hAnsi="David" w:cs="David"/>
          <w:b/>
          <w:bCs/>
          <w:sz w:val="24"/>
          <w:szCs w:val="24"/>
          <w:rtl/>
        </w:rPr>
        <w:t xml:space="preserve">הערת מעבר – התובעת אכן אינה זכאית לפטור מחיובי מכס, אך עדיין יש לבחון דרישתה לפטור מכח סעיף 3 לחוק </w:t>
      </w:r>
      <w:r>
        <w:rPr>
          <w:rFonts w:ascii="David" w:hAnsi="David" w:cs="David"/>
          <w:b/>
          <w:bCs/>
          <w:sz w:val="24"/>
          <w:szCs w:val="24"/>
          <w:u w:val="single"/>
          <w:rtl/>
        </w:rPr>
        <w:t>מיסים עקיפים (מס ששולם ביתר או בחסר)</w:t>
      </w:r>
      <w:r>
        <w:rPr>
          <w:rFonts w:ascii="David" w:hAnsi="David" w:cs="David"/>
          <w:b/>
          <w:bCs/>
          <w:sz w:val="24"/>
          <w:szCs w:val="24"/>
          <w:rtl/>
        </w:rPr>
        <w:t>, תשכ"ח – 1968. על כך בחלק הרביעי להלן.</w:t>
      </w:r>
    </w:p>
    <w:p w:rsidR="003F620D" w:rsidRDefault="003F620D" w:rsidP="003F620D">
      <w:pPr>
        <w:pStyle w:val="ad"/>
        <w:spacing w:line="360" w:lineRule="auto"/>
        <w:ind w:left="1115"/>
        <w:jc w:val="both"/>
        <w:rPr>
          <w:rFonts w:ascii="David" w:hAnsi="David" w:cs="David"/>
          <w:sz w:val="24"/>
          <w:szCs w:val="24"/>
          <w:rtl/>
        </w:rPr>
      </w:pPr>
    </w:p>
    <w:p w:rsidR="0059699C" w:rsidRDefault="0059699C" w:rsidP="003F620D">
      <w:pPr>
        <w:pStyle w:val="ad"/>
        <w:spacing w:line="360" w:lineRule="auto"/>
        <w:ind w:left="1115"/>
        <w:jc w:val="both"/>
        <w:rPr>
          <w:rFonts w:ascii="David" w:hAnsi="David" w:cs="David"/>
          <w:sz w:val="24"/>
          <w:szCs w:val="24"/>
          <w:rtl/>
        </w:rPr>
      </w:pPr>
    </w:p>
    <w:p w:rsidR="003F620D" w:rsidRDefault="003F620D" w:rsidP="003F620D">
      <w:pPr>
        <w:pStyle w:val="ad"/>
        <w:spacing w:line="360" w:lineRule="auto"/>
        <w:ind w:left="-598"/>
        <w:jc w:val="both"/>
        <w:rPr>
          <w:rFonts w:ascii="David" w:hAnsi="David" w:cs="David"/>
          <w:sz w:val="24"/>
          <w:szCs w:val="24"/>
          <w:rtl/>
        </w:rPr>
      </w:pPr>
      <w:r>
        <w:rPr>
          <w:rFonts w:ascii="David" w:hAnsi="David" w:cs="David"/>
          <w:b/>
          <w:bCs/>
          <w:sz w:val="28"/>
          <w:szCs w:val="28"/>
          <w:u w:val="single"/>
          <w:rtl/>
        </w:rPr>
        <w:t>חלק רביעי – דיון והכרעה בשאלה השניה משתיים, שאלת הפטור מכח חוק מיסים עקיפים (מס ששולם ביתר או בחסר)</w:t>
      </w:r>
      <w:r>
        <w:rPr>
          <w:rFonts w:ascii="David" w:hAnsi="David" w:cs="David"/>
          <w:sz w:val="24"/>
          <w:szCs w:val="24"/>
          <w:rtl/>
        </w:rPr>
        <w:t xml:space="preserve"> </w:t>
      </w:r>
    </w:p>
    <w:p w:rsidR="003F620D" w:rsidRDefault="003F620D" w:rsidP="003F620D">
      <w:pPr>
        <w:pStyle w:val="ad"/>
        <w:rPr>
          <w:rFonts w:ascii="David" w:hAnsi="David" w:cs="David"/>
          <w:sz w:val="24"/>
          <w:szCs w:val="24"/>
          <w:rtl/>
        </w:rPr>
      </w:pPr>
    </w:p>
    <w:p w:rsidR="003F620D" w:rsidRDefault="003F620D" w:rsidP="003F620D">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שאלה שניה משתיים - האם התובעת זכאית לפטור מכח הוראות חוק מסים עקיפים (מס ששולם ביתר או בחסר)</w:t>
      </w:r>
    </w:p>
    <w:p w:rsidR="003F620D" w:rsidRDefault="003F620D" w:rsidP="003F620D">
      <w:pPr>
        <w:pStyle w:val="ad"/>
        <w:numPr>
          <w:ilvl w:val="1"/>
          <w:numId w:val="1"/>
        </w:numPr>
        <w:spacing w:line="360" w:lineRule="auto"/>
        <w:ind w:left="536" w:hanging="708"/>
        <w:jc w:val="both"/>
        <w:rPr>
          <w:rFonts w:ascii="David" w:hAnsi="David" w:cs="David"/>
          <w:sz w:val="24"/>
          <w:szCs w:val="24"/>
        </w:rPr>
      </w:pPr>
      <w:r>
        <w:rPr>
          <w:rFonts w:ascii="David" w:hAnsi="David" w:cs="David"/>
          <w:b/>
          <w:bCs/>
          <w:sz w:val="24"/>
          <w:szCs w:val="24"/>
          <w:u w:val="single"/>
          <w:rtl/>
        </w:rPr>
        <w:t>כללי וכן ציטוט הוראות חוק מסים עקיפים (מס ששולם בחסר או ביתר)</w:t>
      </w:r>
      <w:r>
        <w:rPr>
          <w:rFonts w:ascii="David" w:hAnsi="David" w:cs="David"/>
          <w:sz w:val="24"/>
          <w:szCs w:val="24"/>
          <w:rtl/>
        </w:rPr>
        <w:t xml:space="preserve"> </w:t>
      </w:r>
    </w:p>
    <w:p w:rsidR="003F620D" w:rsidRDefault="003F620D" w:rsidP="003F620D">
      <w:pPr>
        <w:pStyle w:val="ad"/>
        <w:numPr>
          <w:ilvl w:val="0"/>
          <w:numId w:val="12"/>
        </w:numPr>
        <w:spacing w:line="360" w:lineRule="auto"/>
        <w:jc w:val="both"/>
        <w:rPr>
          <w:rFonts w:ascii="David" w:hAnsi="David" w:cs="David"/>
          <w:sz w:val="24"/>
          <w:szCs w:val="24"/>
        </w:rPr>
      </w:pPr>
      <w:r>
        <w:rPr>
          <w:rFonts w:ascii="David" w:hAnsi="David" w:cs="David"/>
          <w:sz w:val="24"/>
          <w:szCs w:val="24"/>
          <w:rtl/>
        </w:rPr>
        <w:t>זה עתה, ובמסגרת סעיף 6 לעיל, קבעתי שהתובעת אינה זכאית לפטור מחיובי מכס. לכאורה ניתן היה לסיים את פסק הדין כבר בקביעה זו ואולם התובעת הפנתה היטב לכך שעדיין אפשר ותהיה זכאית לפטור מתשלום וזאת מכח סעיף 3 לחוק מיסים עקיפים.</w:t>
      </w:r>
    </w:p>
    <w:p w:rsidR="003F620D" w:rsidRDefault="003F620D" w:rsidP="003F620D">
      <w:pPr>
        <w:pStyle w:val="ad"/>
        <w:spacing w:line="360" w:lineRule="auto"/>
        <w:ind w:left="536"/>
        <w:jc w:val="both"/>
        <w:rPr>
          <w:rFonts w:ascii="David" w:hAnsi="David" w:cs="David"/>
          <w:sz w:val="24"/>
          <w:szCs w:val="24"/>
          <w:rtl/>
        </w:rPr>
      </w:pPr>
    </w:p>
    <w:p w:rsidR="003F620D" w:rsidRDefault="003F620D" w:rsidP="003F620D">
      <w:pPr>
        <w:pStyle w:val="ad"/>
        <w:numPr>
          <w:ilvl w:val="0"/>
          <w:numId w:val="12"/>
        </w:numPr>
        <w:spacing w:line="360" w:lineRule="auto"/>
        <w:jc w:val="both"/>
        <w:rPr>
          <w:rFonts w:ascii="David" w:hAnsi="David" w:cs="David"/>
          <w:sz w:val="24"/>
          <w:szCs w:val="24"/>
          <w:rtl/>
        </w:rPr>
      </w:pPr>
      <w:r>
        <w:rPr>
          <w:rFonts w:ascii="David" w:hAnsi="David" w:cs="David"/>
          <w:sz w:val="24"/>
          <w:szCs w:val="24"/>
          <w:rtl/>
        </w:rPr>
        <w:t xml:space="preserve">בתמצית ייאמר שהמחוקק התווה דרך בה ניתן לפטור יבואן מתשלומי מכס, וזאת כאשר אין מדובר במקרים הנופלים לגדר הוראות סעיפים 2 ו - 3 לחוק מסים עקיפים (מס ששולם ביתר או בחסר". הוראות סעיף 2 לחוק מפנות לכך שיבואן יהיה חייב בתשלום מס עקיף שלא שולם או שהוחזר (להלן: </w:t>
      </w:r>
      <w:r>
        <w:rPr>
          <w:rFonts w:ascii="David" w:hAnsi="David" w:cs="David"/>
          <w:b/>
          <w:bCs/>
          <w:sz w:val="24"/>
          <w:szCs w:val="24"/>
          <w:rtl/>
        </w:rPr>
        <w:t>"תשלום חסר"</w:t>
      </w:r>
      <w:r>
        <w:rPr>
          <w:rFonts w:ascii="David" w:hAnsi="David" w:cs="David"/>
          <w:sz w:val="24"/>
          <w:szCs w:val="24"/>
          <w:rtl/>
        </w:rPr>
        <w:t>) ואילו הוראות סעיף 3 לחוק קובעות כך:</w:t>
      </w:r>
    </w:p>
    <w:p w:rsidR="003F620D" w:rsidRDefault="003F620D" w:rsidP="003F620D">
      <w:pPr>
        <w:autoSpaceDE w:val="0"/>
        <w:autoSpaceDN w:val="0"/>
        <w:spacing w:before="72"/>
        <w:ind w:left="1440" w:hanging="53"/>
        <w:jc w:val="both"/>
        <w:rPr>
          <w:rFonts w:ascii="David" w:hAnsi="David"/>
          <w:b/>
          <w:bCs/>
        </w:rPr>
      </w:pPr>
      <w:r>
        <w:rPr>
          <w:rFonts w:ascii="David" w:hAnsi="David"/>
          <w:b/>
          <w:bCs/>
          <w:rtl/>
        </w:rPr>
        <w:t>"על אף האמור בסעיף 2, לא יהא הנישום חייב בתשלום חסר אם הוכח להנחת דעתו של המנהל כי נתקיימו כל אלה:</w:t>
      </w:r>
    </w:p>
    <w:p w:rsidR="003F620D" w:rsidRDefault="003F620D" w:rsidP="003F620D">
      <w:pPr>
        <w:autoSpaceDE w:val="0"/>
        <w:autoSpaceDN w:val="0"/>
        <w:spacing w:before="72"/>
        <w:ind w:left="1440" w:hanging="53"/>
        <w:jc w:val="both"/>
        <w:rPr>
          <w:rFonts w:ascii="David" w:hAnsi="David"/>
          <w:b/>
          <w:bCs/>
          <w:rtl/>
        </w:rPr>
      </w:pPr>
    </w:p>
    <w:p w:rsidR="003F620D" w:rsidRDefault="003F620D" w:rsidP="003F620D">
      <w:pPr>
        <w:pStyle w:val="ad"/>
        <w:numPr>
          <w:ilvl w:val="0"/>
          <w:numId w:val="13"/>
        </w:numPr>
        <w:autoSpaceDE w:val="0"/>
        <w:autoSpaceDN w:val="0"/>
        <w:spacing w:before="72" w:after="0" w:line="240" w:lineRule="auto"/>
        <w:jc w:val="both"/>
        <w:rPr>
          <w:rFonts w:ascii="David" w:eastAsia="Times New Roman" w:hAnsi="David" w:cs="David"/>
          <w:b/>
          <w:bCs/>
          <w:sz w:val="24"/>
          <w:szCs w:val="24"/>
        </w:rPr>
      </w:pPr>
      <w:r>
        <w:rPr>
          <w:rFonts w:ascii="David" w:eastAsia="Times New Roman" w:hAnsi="David" w:cs="David"/>
          <w:b/>
          <w:bCs/>
          <w:sz w:val="24"/>
          <w:szCs w:val="24"/>
          <w:rtl/>
        </w:rPr>
        <w:t>החסר לא נבע מחמת ידיעה בלתי נכונה שמסר הנישום או מחמת שלא מסר ידיעה שהיה חייב למסרה;</w:t>
      </w:r>
    </w:p>
    <w:p w:rsidR="003F620D" w:rsidRDefault="003F620D" w:rsidP="003F620D">
      <w:pPr>
        <w:pStyle w:val="ad"/>
        <w:autoSpaceDE w:val="0"/>
        <w:autoSpaceDN w:val="0"/>
        <w:spacing w:before="72" w:after="0" w:line="240" w:lineRule="auto"/>
        <w:ind w:left="2513" w:right="1134"/>
        <w:jc w:val="both"/>
        <w:rPr>
          <w:rFonts w:ascii="David" w:eastAsia="Times New Roman" w:hAnsi="David" w:cs="David"/>
          <w:b/>
          <w:bCs/>
          <w:sz w:val="24"/>
          <w:szCs w:val="24"/>
          <w:rtl/>
        </w:rPr>
      </w:pPr>
    </w:p>
    <w:p w:rsidR="003F620D" w:rsidRDefault="003F620D" w:rsidP="003F620D">
      <w:pPr>
        <w:pStyle w:val="ad"/>
        <w:numPr>
          <w:ilvl w:val="0"/>
          <w:numId w:val="13"/>
        </w:numPr>
        <w:autoSpaceDE w:val="0"/>
        <w:autoSpaceDN w:val="0"/>
        <w:spacing w:before="72" w:after="0" w:line="240" w:lineRule="auto"/>
        <w:jc w:val="both"/>
        <w:rPr>
          <w:rFonts w:ascii="David" w:eastAsia="Times New Roman" w:hAnsi="David" w:cs="David"/>
          <w:b/>
          <w:bCs/>
          <w:sz w:val="24"/>
          <w:szCs w:val="24"/>
          <w:rtl/>
        </w:rPr>
      </w:pPr>
      <w:r>
        <w:rPr>
          <w:rFonts w:ascii="David" w:eastAsia="Times New Roman" w:hAnsi="David" w:cs="David"/>
          <w:b/>
          <w:bCs/>
          <w:sz w:val="24"/>
          <w:szCs w:val="24"/>
          <w:rtl/>
        </w:rPr>
        <w:lastRenderedPageBreak/>
        <w:t>הנישום לא ידע , ובנסיבות הענין לא היה צריך לדעת, על קיומו של החסר;</w:t>
      </w:r>
    </w:p>
    <w:p w:rsidR="003F620D" w:rsidRDefault="003F620D" w:rsidP="003F620D">
      <w:pPr>
        <w:pStyle w:val="ad"/>
        <w:autoSpaceDE w:val="0"/>
        <w:autoSpaceDN w:val="0"/>
        <w:spacing w:before="72" w:after="0" w:line="240" w:lineRule="auto"/>
        <w:ind w:left="2513" w:right="1134"/>
        <w:jc w:val="both"/>
        <w:rPr>
          <w:rFonts w:ascii="David" w:eastAsia="Times New Roman" w:hAnsi="David" w:cs="David"/>
          <w:b/>
          <w:bCs/>
          <w:sz w:val="24"/>
          <w:szCs w:val="24"/>
          <w:rtl/>
        </w:rPr>
      </w:pPr>
    </w:p>
    <w:p w:rsidR="003F620D" w:rsidRDefault="003F620D" w:rsidP="003F620D">
      <w:pPr>
        <w:pStyle w:val="ad"/>
        <w:numPr>
          <w:ilvl w:val="0"/>
          <w:numId w:val="13"/>
        </w:numPr>
        <w:autoSpaceDE w:val="0"/>
        <w:autoSpaceDN w:val="0"/>
        <w:spacing w:before="72" w:after="0" w:line="240" w:lineRule="auto"/>
        <w:jc w:val="both"/>
        <w:rPr>
          <w:rFonts w:ascii="David" w:eastAsia="Times New Roman" w:hAnsi="David" w:cs="David"/>
          <w:b/>
          <w:bCs/>
          <w:sz w:val="24"/>
          <w:szCs w:val="24"/>
          <w:rtl/>
        </w:rPr>
      </w:pPr>
      <w:r>
        <w:rPr>
          <w:rFonts w:ascii="David" w:eastAsia="Times New Roman" w:hAnsi="David" w:cs="David"/>
          <w:b/>
          <w:bCs/>
          <w:sz w:val="24"/>
          <w:szCs w:val="24"/>
          <w:rtl/>
        </w:rPr>
        <w:t>הנישום מכר את הטובין בתום לב, לפני דרישת תשלום החסר במחיר שלא נכלל בו אותו חסר"</w:t>
      </w:r>
    </w:p>
    <w:p w:rsidR="003F620D" w:rsidRDefault="003F620D" w:rsidP="003F620D">
      <w:pPr>
        <w:rPr>
          <w:rFonts w:cs="Times New Roman"/>
          <w:rtl/>
        </w:rPr>
      </w:pPr>
      <w:r>
        <w:rPr>
          <w:rFonts w:ascii="David" w:hAnsi="David"/>
          <w:rtl/>
        </w:rPr>
        <w:t> </w:t>
      </w:r>
    </w:p>
    <w:p w:rsidR="003F620D" w:rsidRDefault="003F620D" w:rsidP="003F620D">
      <w:pPr>
        <w:pStyle w:val="ad"/>
        <w:spacing w:line="360" w:lineRule="auto"/>
        <w:ind w:left="896"/>
        <w:jc w:val="both"/>
        <w:rPr>
          <w:rFonts w:ascii="David" w:hAnsi="David" w:cs="David"/>
          <w:sz w:val="24"/>
          <w:szCs w:val="24"/>
          <w:rtl/>
        </w:rPr>
      </w:pPr>
      <w:r>
        <w:rPr>
          <w:rFonts w:ascii="David" w:hAnsi="David" w:cs="David"/>
          <w:sz w:val="24"/>
          <w:szCs w:val="24"/>
          <w:rtl/>
        </w:rPr>
        <w:t xml:space="preserve">החשוב לעניינינו הוא התנאים בסעיפים 3(1) ו-3(2) לעיל – לפיהם ניתן לזכות יבואן בחיובי המכס ובלבד ואין מדובר במצב בו היבואן מסר ידיעה לא נכונה </w:t>
      </w:r>
      <w:r>
        <w:rPr>
          <w:rFonts w:ascii="David" w:hAnsi="David" w:cs="David"/>
          <w:sz w:val="24"/>
          <w:szCs w:val="24"/>
          <w:u w:val="single"/>
          <w:rtl/>
        </w:rPr>
        <w:t>וכן</w:t>
      </w:r>
      <w:r>
        <w:rPr>
          <w:rFonts w:ascii="David" w:hAnsi="David" w:cs="David"/>
          <w:sz w:val="24"/>
          <w:szCs w:val="24"/>
          <w:rtl/>
        </w:rPr>
        <w:t xml:space="preserve"> אין מדובר במקרה בו היבואן לא ידע ולא צריך היה לדעת על החסר בחיוב. ובמילים פשוטות – ככל שהיבואן ייבא לישראל טובין בידיעה שהם פטורים ממכס ולאחר מכן התברר שאינם פטורים – ניתן יהיה לזכות אותו מחיובי המכס.</w:t>
      </w:r>
    </w:p>
    <w:p w:rsidR="003F620D" w:rsidRDefault="003F620D" w:rsidP="003F620D">
      <w:pPr>
        <w:pStyle w:val="ad"/>
        <w:spacing w:line="360" w:lineRule="auto"/>
        <w:jc w:val="both"/>
        <w:rPr>
          <w:rFonts w:ascii="David" w:hAnsi="David" w:cs="David"/>
          <w:sz w:val="24"/>
          <w:szCs w:val="24"/>
        </w:rPr>
      </w:pPr>
    </w:p>
    <w:p w:rsidR="003F620D" w:rsidRDefault="003F620D" w:rsidP="003F620D">
      <w:pPr>
        <w:pStyle w:val="ad"/>
        <w:numPr>
          <w:ilvl w:val="1"/>
          <w:numId w:val="1"/>
        </w:numPr>
        <w:spacing w:line="360" w:lineRule="auto"/>
        <w:ind w:left="536" w:hanging="708"/>
        <w:jc w:val="both"/>
        <w:rPr>
          <w:rFonts w:ascii="David" w:hAnsi="David" w:cs="David"/>
          <w:sz w:val="24"/>
          <w:szCs w:val="24"/>
          <w:rtl/>
        </w:rPr>
      </w:pPr>
      <w:r>
        <w:rPr>
          <w:rFonts w:ascii="David" w:hAnsi="David" w:cs="David"/>
          <w:b/>
          <w:bCs/>
          <w:sz w:val="24"/>
          <w:szCs w:val="24"/>
          <w:u w:val="single"/>
          <w:rtl/>
        </w:rPr>
        <w:t>לא כל מקרה בו לא אומתו "מסמכי העדפה" ייחשב כמקרה בו מסר היבואן "ידיעה בלתי נכונה"</w:t>
      </w:r>
    </w:p>
    <w:p w:rsidR="003F620D" w:rsidRPr="0059699C" w:rsidRDefault="003F620D" w:rsidP="003F620D">
      <w:pPr>
        <w:pStyle w:val="ad"/>
        <w:numPr>
          <w:ilvl w:val="0"/>
          <w:numId w:val="14"/>
        </w:numPr>
        <w:spacing w:line="360" w:lineRule="auto"/>
        <w:jc w:val="both"/>
        <w:rPr>
          <w:rFonts w:ascii="David" w:hAnsi="David" w:cs="David"/>
          <w:sz w:val="24"/>
          <w:szCs w:val="24"/>
        </w:rPr>
      </w:pPr>
      <w:r w:rsidRPr="0059699C">
        <w:rPr>
          <w:rFonts w:ascii="David" w:hAnsi="David" w:cs="David"/>
          <w:b/>
          <w:bCs/>
          <w:sz w:val="24"/>
          <w:szCs w:val="24"/>
          <w:u w:val="single"/>
          <w:rtl/>
        </w:rPr>
        <w:t>השאלה והמורכבות שבהוראות סעיף 3(1) לחוק</w:t>
      </w:r>
    </w:p>
    <w:p w:rsidR="003F620D" w:rsidRDefault="003F620D" w:rsidP="003F620D">
      <w:pPr>
        <w:pStyle w:val="ad"/>
        <w:spacing w:line="360" w:lineRule="auto"/>
        <w:ind w:left="896"/>
        <w:jc w:val="both"/>
        <w:rPr>
          <w:rFonts w:ascii="David" w:hAnsi="David" w:cs="David"/>
          <w:sz w:val="24"/>
          <w:szCs w:val="24"/>
        </w:rPr>
      </w:pPr>
      <w:r>
        <w:rPr>
          <w:rFonts w:ascii="David" w:hAnsi="David" w:cs="David"/>
          <w:sz w:val="24"/>
          <w:szCs w:val="24"/>
          <w:rtl/>
        </w:rPr>
        <w:t xml:space="preserve">סעיף 3(1) לחוק מסים עקיפים שולל הטבה בכל מקרה בו מסר היבואן </w:t>
      </w:r>
      <w:r>
        <w:rPr>
          <w:rFonts w:ascii="David" w:hAnsi="David" w:cs="David"/>
          <w:b/>
          <w:bCs/>
          <w:sz w:val="24"/>
          <w:szCs w:val="24"/>
          <w:rtl/>
        </w:rPr>
        <w:t>"ידיעה בלתי נכונה"</w:t>
      </w:r>
      <w:r>
        <w:rPr>
          <w:rFonts w:ascii="David" w:hAnsi="David" w:cs="David"/>
          <w:sz w:val="24"/>
          <w:szCs w:val="24"/>
          <w:rtl/>
        </w:rPr>
        <w:t xml:space="preserve">. </w:t>
      </w:r>
    </w:p>
    <w:p w:rsidR="003F620D" w:rsidRDefault="003F620D" w:rsidP="003F620D">
      <w:pPr>
        <w:pStyle w:val="ad"/>
        <w:spacing w:line="360" w:lineRule="auto"/>
        <w:ind w:left="896"/>
        <w:jc w:val="both"/>
        <w:rPr>
          <w:rFonts w:ascii="David" w:hAnsi="David" w:cs="David"/>
          <w:sz w:val="24"/>
          <w:szCs w:val="24"/>
        </w:rPr>
      </w:pPr>
      <w:r>
        <w:rPr>
          <w:rFonts w:ascii="David" w:hAnsi="David" w:cs="David"/>
          <w:sz w:val="24"/>
          <w:szCs w:val="24"/>
          <w:rtl/>
        </w:rPr>
        <w:t xml:space="preserve">על פניו קיימת בעייתיות בהגדרה זו, שהרי ממה נפשך – אם היבואן מסר ידיעה נכונה ומסר מסמכי העדפה נכונים – הרי ממילא אין צורך בהוראות סעיף 3(1). ודוק – ככל שמסמכי ההעדפה יאומתו – הרי ממילא יקבל היבואן את הפטור ממכס. </w:t>
      </w:r>
      <w:r>
        <w:rPr>
          <w:rFonts w:ascii="David" w:hAnsi="David" w:cs="David"/>
          <w:sz w:val="24"/>
          <w:szCs w:val="24"/>
          <w:u w:val="single"/>
          <w:rtl/>
        </w:rPr>
        <w:t>ומנגד</w:t>
      </w:r>
      <w:r>
        <w:rPr>
          <w:rFonts w:ascii="David" w:hAnsi="David" w:cs="David"/>
          <w:sz w:val="24"/>
          <w:szCs w:val="24"/>
          <w:rtl/>
        </w:rPr>
        <w:t xml:space="preserve">, אם בכל פעם שמסמכי ההעדפה לא יאומתו – נקבע שהידיעה שמסר היבואן היא </w:t>
      </w:r>
      <w:r>
        <w:rPr>
          <w:rFonts w:ascii="David" w:hAnsi="David" w:cs="David"/>
          <w:b/>
          <w:bCs/>
          <w:sz w:val="24"/>
          <w:szCs w:val="24"/>
          <w:rtl/>
        </w:rPr>
        <w:t>"ידיעה בלתי נכונה"</w:t>
      </w:r>
      <w:r>
        <w:rPr>
          <w:rFonts w:ascii="David" w:hAnsi="David" w:cs="David"/>
          <w:sz w:val="24"/>
          <w:szCs w:val="24"/>
          <w:rtl/>
        </w:rPr>
        <w:t xml:space="preserve"> – הרי גם במקרה זה אין צורך בהוראות סעיף 3(1). במקרה כזה, די יהיה בהכחשת מסמכי ההעדפה כדי לקבוע שהידיעה שנמסרה אודותם היתה "ידיעה בלתי נכונה".</w:t>
      </w:r>
    </w:p>
    <w:p w:rsidR="003F620D" w:rsidRDefault="003F620D" w:rsidP="003F620D">
      <w:pPr>
        <w:pStyle w:val="ad"/>
        <w:spacing w:line="360" w:lineRule="auto"/>
        <w:ind w:left="896"/>
        <w:jc w:val="both"/>
        <w:rPr>
          <w:rFonts w:ascii="David" w:hAnsi="David" w:cs="David"/>
          <w:sz w:val="24"/>
          <w:szCs w:val="24"/>
          <w:rtl/>
        </w:rPr>
      </w:pPr>
    </w:p>
    <w:p w:rsidR="003F620D" w:rsidRDefault="003F620D" w:rsidP="003F620D">
      <w:pPr>
        <w:pStyle w:val="ad"/>
        <w:numPr>
          <w:ilvl w:val="0"/>
          <w:numId w:val="14"/>
        </w:numPr>
        <w:spacing w:line="360" w:lineRule="auto"/>
        <w:jc w:val="both"/>
        <w:rPr>
          <w:rFonts w:ascii="David" w:hAnsi="David" w:cs="David"/>
          <w:sz w:val="24"/>
          <w:szCs w:val="24"/>
          <w:u w:val="single"/>
          <w:rtl/>
        </w:rPr>
      </w:pPr>
      <w:r w:rsidRPr="0059699C">
        <w:rPr>
          <w:rFonts w:ascii="David" w:hAnsi="David" w:cs="David"/>
          <w:b/>
          <w:bCs/>
          <w:sz w:val="24"/>
          <w:szCs w:val="24"/>
          <w:u w:val="single"/>
          <w:rtl/>
        </w:rPr>
        <w:t>הפתרון למורכבות שבהוראות סעיף 3(1) לחוק – בדיקת ידיעת היבואן בעת מסירת הידיעה</w:t>
      </w:r>
    </w:p>
    <w:p w:rsidR="003F620D" w:rsidRDefault="003F620D" w:rsidP="003F620D">
      <w:pPr>
        <w:pStyle w:val="ad"/>
        <w:numPr>
          <w:ilvl w:val="0"/>
          <w:numId w:val="2"/>
        </w:numPr>
        <w:spacing w:line="360" w:lineRule="auto"/>
        <w:ind w:left="1245"/>
        <w:jc w:val="both"/>
        <w:rPr>
          <w:rFonts w:ascii="David" w:hAnsi="David" w:cs="David"/>
          <w:sz w:val="24"/>
          <w:szCs w:val="24"/>
        </w:rPr>
      </w:pPr>
      <w:r>
        <w:rPr>
          <w:rFonts w:ascii="David" w:hAnsi="David" w:cs="David"/>
          <w:sz w:val="24"/>
          <w:szCs w:val="24"/>
          <w:rtl/>
        </w:rPr>
        <w:t xml:space="preserve">אין ספק שהמחוקק התכוון למקרים בהם היבואן מוסר במודע </w:t>
      </w:r>
      <w:r>
        <w:rPr>
          <w:rFonts w:ascii="David" w:hAnsi="David" w:cs="David"/>
          <w:b/>
          <w:bCs/>
          <w:sz w:val="24"/>
          <w:szCs w:val="24"/>
          <w:rtl/>
        </w:rPr>
        <w:t>"ידיעה בלתי נכונה"</w:t>
      </w:r>
      <w:r>
        <w:rPr>
          <w:rFonts w:ascii="David" w:hAnsi="David" w:cs="David"/>
          <w:sz w:val="24"/>
          <w:szCs w:val="24"/>
          <w:rtl/>
        </w:rPr>
        <w:t>. מקרים בהם ניסה היבואן להטעות ולקבל פטור מחיובי מכס, תוך שהוא יודע שהוא עושה שימוש במסמך שהאמור בו אינו נכון.</w:t>
      </w:r>
    </w:p>
    <w:p w:rsidR="003F620D" w:rsidRDefault="003F620D" w:rsidP="003F620D">
      <w:pPr>
        <w:pStyle w:val="ad"/>
        <w:numPr>
          <w:ilvl w:val="0"/>
          <w:numId w:val="2"/>
        </w:numPr>
        <w:spacing w:line="360" w:lineRule="auto"/>
        <w:ind w:left="1245"/>
        <w:jc w:val="both"/>
        <w:rPr>
          <w:rFonts w:ascii="David" w:hAnsi="David" w:cs="David"/>
          <w:sz w:val="24"/>
          <w:szCs w:val="24"/>
        </w:rPr>
      </w:pPr>
      <w:r>
        <w:rPr>
          <w:rFonts w:ascii="David" w:hAnsi="David" w:cs="David"/>
          <w:sz w:val="24"/>
          <w:szCs w:val="24"/>
          <w:rtl/>
        </w:rPr>
        <w:t xml:space="preserve">חיזוק לאמור לעיל מתקבל מהוראות סעיף 3(2) לחוק המקנה ליבואן זכות רק כאשר </w:t>
      </w:r>
      <w:r>
        <w:rPr>
          <w:rFonts w:ascii="David" w:hAnsi="David" w:cs="David"/>
          <w:b/>
          <w:bCs/>
          <w:sz w:val="24"/>
          <w:szCs w:val="24"/>
          <w:rtl/>
        </w:rPr>
        <w:t>"לא ידע ובנסיבות הענין לא היה צריך לדעת על קיומו של החסר"</w:t>
      </w:r>
      <w:r>
        <w:rPr>
          <w:rFonts w:ascii="David" w:hAnsi="David" w:cs="David"/>
          <w:sz w:val="24"/>
          <w:szCs w:val="24"/>
          <w:rtl/>
        </w:rPr>
        <w:t>. כלומר, ככל שיוכיח היבואן שאכן לא ידע שהטובין אותם ייבא צריכים להיות מחויבים במכס – אזי ניתן יהיה לזכותו מכח הוראות סעיף 3 לחוק מסים עקיפים.</w:t>
      </w:r>
    </w:p>
    <w:p w:rsidR="003F620D" w:rsidRDefault="003F620D" w:rsidP="003F620D">
      <w:pPr>
        <w:pStyle w:val="ad"/>
        <w:spacing w:line="360" w:lineRule="auto"/>
        <w:jc w:val="both"/>
        <w:rPr>
          <w:rFonts w:ascii="David" w:hAnsi="David" w:cs="David"/>
          <w:sz w:val="24"/>
          <w:szCs w:val="24"/>
        </w:rPr>
      </w:pPr>
    </w:p>
    <w:p w:rsidR="003F620D" w:rsidRDefault="003F620D" w:rsidP="003F620D">
      <w:pPr>
        <w:pStyle w:val="ad"/>
        <w:numPr>
          <w:ilvl w:val="1"/>
          <w:numId w:val="1"/>
        </w:numPr>
        <w:spacing w:line="360" w:lineRule="auto"/>
        <w:ind w:left="536" w:hanging="708"/>
        <w:jc w:val="both"/>
        <w:rPr>
          <w:rFonts w:ascii="David" w:hAnsi="David" w:cs="David"/>
          <w:sz w:val="24"/>
          <w:szCs w:val="24"/>
          <w:rtl/>
        </w:rPr>
      </w:pPr>
      <w:r>
        <w:rPr>
          <w:rFonts w:ascii="David" w:hAnsi="David" w:cs="David"/>
          <w:b/>
          <w:bCs/>
          <w:sz w:val="24"/>
          <w:szCs w:val="24"/>
          <w:u w:val="single"/>
          <w:rtl/>
        </w:rPr>
        <w:t>התובעת לא מסרה ידיעה בלתי נכונה ולא ידעה על קיומו של החסר (התייחסות לשתי חוות הדעת שהגישה התובעת)</w:t>
      </w:r>
    </w:p>
    <w:p w:rsidR="003F620D" w:rsidRDefault="003F620D" w:rsidP="003F620D">
      <w:pPr>
        <w:pStyle w:val="ad"/>
        <w:numPr>
          <w:ilvl w:val="0"/>
          <w:numId w:val="15"/>
        </w:numPr>
        <w:spacing w:line="360" w:lineRule="auto"/>
        <w:jc w:val="both"/>
        <w:rPr>
          <w:rFonts w:ascii="David" w:hAnsi="David" w:cs="David"/>
          <w:sz w:val="24"/>
          <w:szCs w:val="24"/>
          <w:u w:val="single"/>
        </w:rPr>
      </w:pPr>
      <w:r>
        <w:rPr>
          <w:rFonts w:ascii="David" w:hAnsi="David" w:cs="David"/>
          <w:b/>
          <w:bCs/>
          <w:sz w:val="24"/>
          <w:szCs w:val="24"/>
          <w:u w:val="single"/>
          <w:rtl/>
        </w:rPr>
        <w:t>כללי</w:t>
      </w:r>
    </w:p>
    <w:p w:rsidR="003F620D" w:rsidRDefault="003F620D" w:rsidP="003F620D">
      <w:pPr>
        <w:pStyle w:val="ad"/>
        <w:numPr>
          <w:ilvl w:val="0"/>
          <w:numId w:val="2"/>
        </w:numPr>
        <w:spacing w:line="360" w:lineRule="auto"/>
        <w:ind w:left="1387" w:hanging="425"/>
        <w:jc w:val="both"/>
        <w:rPr>
          <w:rFonts w:ascii="David" w:hAnsi="David" w:cs="David"/>
          <w:sz w:val="24"/>
          <w:szCs w:val="24"/>
        </w:rPr>
      </w:pPr>
      <w:r>
        <w:rPr>
          <w:rFonts w:ascii="David" w:hAnsi="David" w:cs="David"/>
          <w:sz w:val="24"/>
          <w:szCs w:val="24"/>
          <w:rtl/>
        </w:rPr>
        <w:t>בעניינינו ועל סמך הראיות שהוגשו, ניתן לקבוע שהתובעת אכן לא ידעה שמסמכי ההעדפה אותם מסרה לא יאומתו ובוודאי לא ידעה על קיומו של החסר. ניתן לקבוע כך, על סמך שתי חוות הדעת המפרטות שהוגשו ביחס לכלי הרכב המיובאים. חוות דעת שמולם לא הגישה הנתבעת כל חוות נגדית.</w:t>
      </w:r>
    </w:p>
    <w:p w:rsidR="003F620D" w:rsidRDefault="003F620D" w:rsidP="003F620D">
      <w:pPr>
        <w:pStyle w:val="ad"/>
        <w:spacing w:line="360" w:lineRule="auto"/>
        <w:ind w:left="1103"/>
        <w:jc w:val="both"/>
        <w:rPr>
          <w:rFonts w:ascii="David" w:hAnsi="David" w:cs="David"/>
          <w:sz w:val="24"/>
          <w:szCs w:val="24"/>
        </w:rPr>
      </w:pPr>
    </w:p>
    <w:p w:rsidR="003F620D" w:rsidRDefault="003F620D" w:rsidP="003F620D">
      <w:pPr>
        <w:pStyle w:val="ad"/>
        <w:numPr>
          <w:ilvl w:val="0"/>
          <w:numId w:val="2"/>
        </w:numPr>
        <w:spacing w:line="360" w:lineRule="auto"/>
        <w:ind w:left="1387" w:hanging="425"/>
        <w:jc w:val="both"/>
        <w:rPr>
          <w:rFonts w:ascii="David" w:hAnsi="David" w:cs="David"/>
          <w:sz w:val="24"/>
          <w:szCs w:val="24"/>
        </w:rPr>
      </w:pPr>
      <w:r>
        <w:rPr>
          <w:rFonts w:ascii="David" w:hAnsi="David" w:cs="David"/>
          <w:sz w:val="24"/>
          <w:szCs w:val="24"/>
          <w:rtl/>
        </w:rPr>
        <w:t xml:space="preserve">שתי חוות הדעת מלמדות שניים – </w:t>
      </w:r>
      <w:r>
        <w:rPr>
          <w:rFonts w:ascii="David" w:hAnsi="David" w:cs="David"/>
          <w:b/>
          <w:bCs/>
          <w:sz w:val="24"/>
          <w:szCs w:val="24"/>
          <w:u w:val="single"/>
          <w:rtl/>
        </w:rPr>
        <w:t>ראשית</w:t>
      </w:r>
      <w:r>
        <w:rPr>
          <w:rFonts w:ascii="David" w:hAnsi="David" w:cs="David"/>
          <w:sz w:val="24"/>
          <w:szCs w:val="24"/>
          <w:rtl/>
        </w:rPr>
        <w:t xml:space="preserve">,  חוות הדעת של המהנדס מקסים טבל מלמדת שאכן הטובין המיובאים תואמים לאלה שמיובאים על ידי היבואן הראשי של כלי הרכב; </w:t>
      </w:r>
      <w:r>
        <w:rPr>
          <w:rFonts w:ascii="David" w:hAnsi="David" w:cs="David"/>
          <w:b/>
          <w:bCs/>
          <w:sz w:val="24"/>
          <w:szCs w:val="24"/>
          <w:u w:val="single"/>
          <w:rtl/>
        </w:rPr>
        <w:t>שנית ועיקר</w:t>
      </w:r>
      <w:r>
        <w:rPr>
          <w:rFonts w:ascii="David" w:hAnsi="David" w:cs="David"/>
          <w:sz w:val="24"/>
          <w:szCs w:val="24"/>
          <w:rtl/>
        </w:rPr>
        <w:t>, חוות הדעת של המומחה יוחאי שנער סוקרת את רכיבי הפריטים המיובאים ומלמדת שאלה עונים על דרישת הסכם הסחר לפיו לפחות 60% מרכיבי המוצר ייוצרו במדינות האיחוד האירופי.</w:t>
      </w:r>
    </w:p>
    <w:p w:rsidR="003F620D" w:rsidRDefault="003F620D" w:rsidP="003F620D">
      <w:pPr>
        <w:pStyle w:val="ad"/>
        <w:rPr>
          <w:rFonts w:ascii="David" w:hAnsi="David" w:cs="David"/>
          <w:sz w:val="24"/>
          <w:szCs w:val="24"/>
        </w:rPr>
      </w:pPr>
    </w:p>
    <w:p w:rsidR="003F620D" w:rsidRDefault="003F620D" w:rsidP="003F620D">
      <w:pPr>
        <w:pStyle w:val="ad"/>
        <w:spacing w:line="360" w:lineRule="auto"/>
        <w:ind w:left="820"/>
        <w:jc w:val="both"/>
        <w:rPr>
          <w:rFonts w:ascii="David" w:hAnsi="David" w:cs="David"/>
          <w:sz w:val="24"/>
          <w:szCs w:val="24"/>
          <w:rtl/>
        </w:rPr>
      </w:pPr>
      <w:r>
        <w:rPr>
          <w:rFonts w:ascii="David" w:hAnsi="David" w:cs="David"/>
          <w:sz w:val="24"/>
          <w:szCs w:val="24"/>
          <w:rtl/>
        </w:rPr>
        <w:t>בפסקאות הבאות יובאו שלושה נימוקים המבססים את עמדתה של התובעת לפיה היא זכאית להשבת המס בו חויבה.</w:t>
      </w:r>
    </w:p>
    <w:p w:rsidR="003F620D" w:rsidRDefault="003F620D" w:rsidP="003F620D">
      <w:pPr>
        <w:pStyle w:val="ad"/>
        <w:spacing w:line="360" w:lineRule="auto"/>
        <w:ind w:left="820"/>
        <w:jc w:val="both"/>
        <w:rPr>
          <w:rFonts w:ascii="David" w:hAnsi="David" w:cs="David"/>
          <w:sz w:val="24"/>
          <w:szCs w:val="24"/>
          <w:rtl/>
        </w:rPr>
      </w:pPr>
    </w:p>
    <w:p w:rsidR="003F620D" w:rsidRDefault="003F620D" w:rsidP="003F620D">
      <w:pPr>
        <w:pStyle w:val="ad"/>
        <w:numPr>
          <w:ilvl w:val="0"/>
          <w:numId w:val="15"/>
        </w:numPr>
        <w:spacing w:line="360" w:lineRule="auto"/>
        <w:jc w:val="both"/>
        <w:rPr>
          <w:rFonts w:ascii="David" w:hAnsi="David" w:cs="David"/>
          <w:sz w:val="24"/>
          <w:szCs w:val="24"/>
          <w:rtl/>
        </w:rPr>
      </w:pPr>
      <w:r>
        <w:rPr>
          <w:rFonts w:ascii="David" w:hAnsi="David" w:cs="David"/>
          <w:b/>
          <w:bCs/>
          <w:sz w:val="24"/>
          <w:szCs w:val="24"/>
          <w:u w:val="single"/>
          <w:rtl/>
        </w:rPr>
        <w:t>נימוק ראשון משלושה ביחס לכך שהתובעת סברה שהיא פטורה מתשלומי מכס - חוות הדעת של המהנדס מקסים טבל לפיה כלי הרכב שייבאה התובעת תואמים לכלי הרכב שמייבאת היבואנית הרשמית</w:t>
      </w:r>
    </w:p>
    <w:p w:rsidR="003F620D" w:rsidRDefault="003F620D" w:rsidP="003F620D">
      <w:pPr>
        <w:pStyle w:val="ad"/>
        <w:numPr>
          <w:ilvl w:val="0"/>
          <w:numId w:val="2"/>
        </w:numPr>
        <w:spacing w:line="360" w:lineRule="auto"/>
        <w:ind w:left="1440" w:hanging="478"/>
        <w:jc w:val="both"/>
        <w:rPr>
          <w:rFonts w:ascii="David" w:hAnsi="David" w:cs="David"/>
          <w:sz w:val="24"/>
          <w:szCs w:val="24"/>
        </w:rPr>
      </w:pPr>
      <w:r>
        <w:rPr>
          <w:rFonts w:ascii="David" w:hAnsi="David" w:cs="David"/>
          <w:sz w:val="24"/>
          <w:szCs w:val="24"/>
          <w:rtl/>
        </w:rPr>
        <w:t xml:space="preserve">טענת התובעת לפיה סברה שהיא פטורה מתשלומי מכס אינה מופרכת. התובעת תמכה את גרסתה בחוות דעת המהנדס מקסים טבל, אשר בין היתר שימש בעבר כראש תחום תקינה במשרד התחבורה. המהנדס טבל בחן את מסמכי כל עשרת כלי הרכב שיובאו והגיע למסקנה לפיה </w:t>
      </w:r>
      <w:r>
        <w:rPr>
          <w:rFonts w:ascii="David" w:hAnsi="David" w:cs="David"/>
          <w:b/>
          <w:bCs/>
          <w:sz w:val="24"/>
          <w:szCs w:val="24"/>
          <w:rtl/>
        </w:rPr>
        <w:t xml:space="preserve">"כל כלי הרכב שיובאו ע"י מאי מוטורס </w:t>
      </w:r>
      <w:r>
        <w:rPr>
          <w:rFonts w:ascii="David" w:hAnsi="David" w:cs="David"/>
          <w:sz w:val="24"/>
          <w:szCs w:val="24"/>
          <w:rtl/>
        </w:rPr>
        <w:t>[התובעת – א.ב]</w:t>
      </w:r>
      <w:r>
        <w:rPr>
          <w:rFonts w:ascii="David" w:hAnsi="David" w:cs="David"/>
          <w:b/>
          <w:bCs/>
          <w:sz w:val="24"/>
          <w:szCs w:val="24"/>
          <w:rtl/>
        </w:rPr>
        <w:t xml:space="preserve"> זהים מבחינת התיעוד האירופאי לכלי הרכב המיובאים ע"י היבואן הישיר, חב' דלק מוטורס בע"מ והם ניתנים לרישום בכל מדינות אירופה"</w:t>
      </w:r>
      <w:r>
        <w:rPr>
          <w:rFonts w:ascii="David" w:hAnsi="David" w:cs="David"/>
          <w:sz w:val="24"/>
          <w:szCs w:val="24"/>
          <w:rtl/>
        </w:rPr>
        <w:t>.</w:t>
      </w:r>
    </w:p>
    <w:p w:rsidR="003F620D" w:rsidRDefault="003F620D" w:rsidP="003F620D">
      <w:pPr>
        <w:pStyle w:val="ad"/>
        <w:spacing w:line="360" w:lineRule="auto"/>
        <w:ind w:left="1440"/>
        <w:jc w:val="both"/>
        <w:rPr>
          <w:rFonts w:ascii="David" w:hAnsi="David" w:cs="David"/>
          <w:sz w:val="24"/>
          <w:szCs w:val="24"/>
        </w:rPr>
      </w:pPr>
    </w:p>
    <w:p w:rsidR="003F620D" w:rsidRDefault="003F620D" w:rsidP="003F620D">
      <w:pPr>
        <w:pStyle w:val="ad"/>
        <w:numPr>
          <w:ilvl w:val="0"/>
          <w:numId w:val="2"/>
        </w:numPr>
        <w:spacing w:line="360" w:lineRule="auto"/>
        <w:ind w:left="1440" w:hanging="478"/>
        <w:jc w:val="both"/>
        <w:rPr>
          <w:rFonts w:ascii="David" w:hAnsi="David" w:cs="David"/>
          <w:sz w:val="24"/>
          <w:szCs w:val="24"/>
        </w:rPr>
      </w:pPr>
      <w:r>
        <w:rPr>
          <w:rFonts w:ascii="David" w:hAnsi="David" w:cs="David"/>
          <w:sz w:val="24"/>
          <w:szCs w:val="24"/>
          <w:rtl/>
        </w:rPr>
        <w:t xml:space="preserve">עוד הגיע מהנדס התקינה למסקנה לפיה </w:t>
      </w:r>
      <w:r>
        <w:rPr>
          <w:rFonts w:ascii="David" w:hAnsi="David" w:cs="David"/>
          <w:b/>
          <w:bCs/>
          <w:sz w:val="24"/>
          <w:szCs w:val="24"/>
          <w:rtl/>
        </w:rPr>
        <w:t>"כל כלי הרכב שיובאו ע"י מאי מוטורס זהים מבחינת דגם הרכב לכלי הרכב המיובאים ע"י היבואן הישיר, חב' דלק מוטורס בע"מ והם משווקים בפועל ע"י יצרן הרכב בכל מדינות אירופה"</w:t>
      </w:r>
      <w:r>
        <w:rPr>
          <w:rFonts w:ascii="David" w:hAnsi="David" w:cs="David"/>
          <w:sz w:val="24"/>
          <w:szCs w:val="24"/>
          <w:rtl/>
        </w:rPr>
        <w:t>.</w:t>
      </w:r>
    </w:p>
    <w:p w:rsidR="003F620D" w:rsidRDefault="003F620D" w:rsidP="003F620D">
      <w:pPr>
        <w:pStyle w:val="ad"/>
        <w:rPr>
          <w:rFonts w:ascii="David" w:hAnsi="David" w:cs="David"/>
          <w:sz w:val="24"/>
          <w:szCs w:val="24"/>
        </w:rPr>
      </w:pPr>
    </w:p>
    <w:p w:rsidR="003F620D" w:rsidRDefault="003F620D" w:rsidP="003F620D">
      <w:pPr>
        <w:pStyle w:val="ad"/>
        <w:spacing w:line="360" w:lineRule="auto"/>
        <w:ind w:left="962"/>
        <w:jc w:val="both"/>
        <w:rPr>
          <w:rFonts w:ascii="David" w:hAnsi="David" w:cs="David"/>
          <w:sz w:val="24"/>
          <w:szCs w:val="24"/>
          <w:rtl/>
        </w:rPr>
      </w:pPr>
      <w:r>
        <w:rPr>
          <w:rFonts w:ascii="David" w:hAnsi="David" w:cs="David"/>
          <w:sz w:val="24"/>
          <w:szCs w:val="24"/>
          <w:rtl/>
        </w:rPr>
        <w:t xml:space="preserve">כלומר – הלך הרוח של התובעת, ועמדתה לפיה מסמכי ההעדפה אכן תקינים – לא היה מופרך. אין מדובר בתובעת אשר ייבאה טובין תוך מסירת "ידיעה בלתי נכונה". אדרבא, בדיקת מומחה תקינה מוכיחה שבחינה מקצועית של מסמכי כלי הרכב עשויה להביא למסקנה לפיה הייבוא פטור ממכס. </w:t>
      </w:r>
    </w:p>
    <w:p w:rsidR="003F620D" w:rsidRDefault="003F620D" w:rsidP="003F620D">
      <w:pPr>
        <w:pStyle w:val="ad"/>
        <w:spacing w:line="360" w:lineRule="auto"/>
        <w:ind w:left="820"/>
        <w:jc w:val="both"/>
        <w:rPr>
          <w:rFonts w:ascii="David" w:hAnsi="David" w:cs="David"/>
          <w:sz w:val="24"/>
          <w:szCs w:val="24"/>
          <w:rtl/>
        </w:rPr>
      </w:pPr>
    </w:p>
    <w:p w:rsidR="003F620D" w:rsidRDefault="003F620D" w:rsidP="003F620D">
      <w:pPr>
        <w:pStyle w:val="ad"/>
        <w:numPr>
          <w:ilvl w:val="0"/>
          <w:numId w:val="15"/>
        </w:numPr>
        <w:spacing w:line="360" w:lineRule="auto"/>
        <w:jc w:val="both"/>
        <w:rPr>
          <w:rFonts w:ascii="David" w:hAnsi="David" w:cs="David"/>
          <w:sz w:val="24"/>
          <w:szCs w:val="24"/>
        </w:rPr>
      </w:pPr>
      <w:r>
        <w:rPr>
          <w:rFonts w:ascii="David" w:hAnsi="David" w:cs="David"/>
          <w:b/>
          <w:bCs/>
          <w:sz w:val="24"/>
          <w:szCs w:val="24"/>
          <w:u w:val="single"/>
          <w:rtl/>
        </w:rPr>
        <w:t>נימוק שני משלושה ביחס לכך שהתובעת סברה שהיא פטורה מתשלומי מכס - חוות הדעת המפורטת של המומחה מר יוחאי שנער, אשר בחן את התכולה הפיזית והחלפים שהרכיבו את כלי הרכב המיובאים</w:t>
      </w:r>
    </w:p>
    <w:p w:rsidR="003F620D" w:rsidRDefault="003F620D" w:rsidP="003F620D">
      <w:pPr>
        <w:pStyle w:val="ad"/>
        <w:numPr>
          <w:ilvl w:val="0"/>
          <w:numId w:val="2"/>
        </w:numPr>
        <w:spacing w:line="360" w:lineRule="auto"/>
        <w:ind w:left="1440" w:hanging="478"/>
        <w:jc w:val="both"/>
        <w:rPr>
          <w:rFonts w:ascii="David" w:hAnsi="David" w:cs="David"/>
          <w:sz w:val="24"/>
          <w:szCs w:val="24"/>
        </w:rPr>
      </w:pPr>
      <w:r>
        <w:rPr>
          <w:rFonts w:ascii="David" w:hAnsi="David" w:cs="David"/>
          <w:sz w:val="24"/>
          <w:szCs w:val="24"/>
          <w:rtl/>
        </w:rPr>
        <w:t xml:space="preserve">התובעת לא הסתפקה בחוות דעתו של המהנדס מקסים טבל, אלא הוסיפה וצירפה חוות דעת של המומחה יוחאי שנער. המומחה שנער נכנס לקרביהם של כלי הרכב, בחן במעין עבודת נמלים </w:t>
      </w:r>
      <w:r>
        <w:rPr>
          <w:rFonts w:ascii="David" w:hAnsi="David" w:cs="David"/>
          <w:b/>
          <w:bCs/>
          <w:sz w:val="24"/>
          <w:szCs w:val="24"/>
          <w:rtl/>
        </w:rPr>
        <w:t>"כ-300 פריטים שונים המרכיבים את המכוניות"</w:t>
      </w:r>
      <w:r>
        <w:rPr>
          <w:rFonts w:ascii="David" w:hAnsi="David" w:cs="David"/>
          <w:sz w:val="24"/>
          <w:szCs w:val="24"/>
          <w:rtl/>
        </w:rPr>
        <w:t xml:space="preserve"> ואף התייחס למקומות הייצור של כלי הרכב ושל רכיביהם השונים.</w:t>
      </w:r>
    </w:p>
    <w:p w:rsidR="003F620D" w:rsidRDefault="003F620D" w:rsidP="003F620D">
      <w:pPr>
        <w:pStyle w:val="ad"/>
        <w:spacing w:line="360" w:lineRule="auto"/>
        <w:ind w:left="1440"/>
        <w:jc w:val="both"/>
        <w:rPr>
          <w:rFonts w:ascii="David" w:hAnsi="David" w:cs="David"/>
          <w:sz w:val="24"/>
          <w:szCs w:val="24"/>
        </w:rPr>
      </w:pPr>
    </w:p>
    <w:p w:rsidR="003F620D" w:rsidRDefault="003F620D" w:rsidP="003F620D">
      <w:pPr>
        <w:pStyle w:val="ad"/>
        <w:numPr>
          <w:ilvl w:val="0"/>
          <w:numId w:val="2"/>
        </w:numPr>
        <w:spacing w:line="360" w:lineRule="auto"/>
        <w:ind w:left="1440" w:hanging="478"/>
        <w:jc w:val="both"/>
        <w:rPr>
          <w:rFonts w:ascii="David" w:hAnsi="David" w:cs="David"/>
          <w:sz w:val="24"/>
          <w:szCs w:val="24"/>
        </w:rPr>
      </w:pPr>
      <w:r>
        <w:rPr>
          <w:rFonts w:ascii="David" w:hAnsi="David" w:cs="David"/>
          <w:sz w:val="24"/>
          <w:szCs w:val="24"/>
          <w:rtl/>
        </w:rPr>
        <w:lastRenderedPageBreak/>
        <w:t xml:space="preserve">לאחר הבדיקה הנרחבת שביצע המומחה שנער, הוא הגיע למסקנה לפיה לפחות 76% מרכיבי כלי הרכב יוצרו במדינות האיחוד האירופי וכלשונו – </w:t>
      </w:r>
      <w:r>
        <w:rPr>
          <w:rFonts w:ascii="David" w:hAnsi="David" w:cs="David"/>
          <w:b/>
          <w:bCs/>
          <w:sz w:val="24"/>
          <w:szCs w:val="24"/>
          <w:rtl/>
        </w:rPr>
        <w:t>"המסקנה שנובעת מהבדיקות שערכתי היא כי לפחות 76% ובסבירות גבוהה קרוב יותר ל-90% מחלקי המכוניות האמורות הם ממקור אירופאי ועל כן לא אמור להיות כל ספק בכך שהמכוניות עומדות בכללי המקור שבהסכם הסחר שבין ישראל ואירופה וזכאיות לפיכך להעדפות מכס"</w:t>
      </w:r>
      <w:r>
        <w:rPr>
          <w:rFonts w:ascii="David" w:hAnsi="David" w:cs="David"/>
          <w:sz w:val="24"/>
          <w:szCs w:val="24"/>
          <w:rtl/>
        </w:rPr>
        <w:t>.</w:t>
      </w:r>
    </w:p>
    <w:p w:rsidR="003F620D" w:rsidRDefault="003F620D" w:rsidP="003F620D">
      <w:pPr>
        <w:pStyle w:val="ad"/>
        <w:rPr>
          <w:rFonts w:ascii="David" w:hAnsi="David" w:cs="David"/>
          <w:sz w:val="24"/>
          <w:szCs w:val="24"/>
        </w:rPr>
      </w:pPr>
    </w:p>
    <w:p w:rsidR="003F620D" w:rsidRDefault="003F620D" w:rsidP="003F620D">
      <w:pPr>
        <w:pStyle w:val="ad"/>
        <w:numPr>
          <w:ilvl w:val="0"/>
          <w:numId w:val="2"/>
        </w:numPr>
        <w:spacing w:line="360" w:lineRule="auto"/>
        <w:ind w:left="1440" w:hanging="478"/>
        <w:jc w:val="both"/>
        <w:rPr>
          <w:rFonts w:ascii="David" w:hAnsi="David" w:cs="David"/>
          <w:sz w:val="24"/>
          <w:szCs w:val="24"/>
          <w:rtl/>
        </w:rPr>
      </w:pPr>
      <w:r>
        <w:rPr>
          <w:rFonts w:ascii="David" w:hAnsi="David" w:cs="David"/>
          <w:sz w:val="24"/>
          <w:szCs w:val="24"/>
          <w:rtl/>
        </w:rPr>
        <w:t xml:space="preserve">הנתבעת הקפידה </w:t>
      </w:r>
      <w:r>
        <w:rPr>
          <w:rFonts w:ascii="David" w:hAnsi="David" w:cs="David"/>
          <w:sz w:val="24"/>
          <w:szCs w:val="24"/>
          <w:u w:val="single"/>
          <w:rtl/>
        </w:rPr>
        <w:t>לא</w:t>
      </w:r>
      <w:r>
        <w:rPr>
          <w:rFonts w:ascii="David" w:hAnsi="David" w:cs="David"/>
          <w:sz w:val="24"/>
          <w:szCs w:val="24"/>
          <w:rtl/>
        </w:rPr>
        <w:t xml:space="preserve"> להתמודד עם חוות הדעת של המומחה שנער. </w:t>
      </w:r>
      <w:r>
        <w:rPr>
          <w:rFonts w:ascii="David" w:hAnsi="David" w:cs="David"/>
          <w:sz w:val="24"/>
          <w:szCs w:val="24"/>
          <w:u w:val="single"/>
          <w:rtl/>
        </w:rPr>
        <w:t>לא</w:t>
      </w:r>
      <w:r>
        <w:rPr>
          <w:rFonts w:ascii="David" w:hAnsi="David" w:cs="David"/>
          <w:sz w:val="24"/>
          <w:szCs w:val="24"/>
          <w:rtl/>
        </w:rPr>
        <w:t xml:space="preserve"> הוצגה כל חוות דעת נגדית ו</w:t>
      </w:r>
      <w:r>
        <w:rPr>
          <w:rFonts w:ascii="David" w:hAnsi="David" w:cs="David"/>
          <w:sz w:val="24"/>
          <w:szCs w:val="24"/>
          <w:u w:val="single"/>
          <w:rtl/>
        </w:rPr>
        <w:t>לא</w:t>
      </w:r>
      <w:r>
        <w:rPr>
          <w:rFonts w:ascii="David" w:hAnsi="David" w:cs="David"/>
          <w:sz w:val="24"/>
          <w:szCs w:val="24"/>
          <w:rtl/>
        </w:rPr>
        <w:t xml:space="preserve"> הוצגו נתונים המנסים להתמודד עם מסקנתו החד משמעית. כל אשר עשתה הנתבעת הוא להסתפק בתצהירה היחיד של מנהלת תחום בהנהלת המכס בו טענה בהרחבה (סעיף 13 לתצהיר) – שאין להתייחס לחוות הדעת, אלא רק למסמכי ה</w:t>
      </w:r>
      <w:r w:rsidR="0059699C">
        <w:rPr>
          <w:rFonts w:ascii="David" w:hAnsi="David" w:cs="David" w:hint="cs"/>
          <w:sz w:val="24"/>
          <w:szCs w:val="24"/>
          <w:rtl/>
        </w:rPr>
        <w:t>ה</w:t>
      </w:r>
      <w:r>
        <w:rPr>
          <w:rFonts w:ascii="David" w:hAnsi="David" w:cs="David"/>
          <w:sz w:val="24"/>
          <w:szCs w:val="24"/>
          <w:rtl/>
        </w:rPr>
        <w:t>עדפה.</w:t>
      </w:r>
    </w:p>
    <w:p w:rsidR="003F620D" w:rsidRDefault="003F620D" w:rsidP="003F620D">
      <w:pPr>
        <w:pStyle w:val="ad"/>
        <w:rPr>
          <w:rFonts w:ascii="David" w:hAnsi="David" w:cs="David"/>
          <w:sz w:val="24"/>
          <w:szCs w:val="24"/>
        </w:rPr>
      </w:pPr>
    </w:p>
    <w:p w:rsidR="003F620D" w:rsidRDefault="003F620D" w:rsidP="003F620D">
      <w:pPr>
        <w:pStyle w:val="ad"/>
        <w:spacing w:line="360" w:lineRule="auto"/>
        <w:ind w:left="1440"/>
        <w:jc w:val="both"/>
        <w:rPr>
          <w:rFonts w:ascii="David" w:hAnsi="David" w:cs="David"/>
          <w:sz w:val="24"/>
          <w:szCs w:val="24"/>
          <w:rtl/>
        </w:rPr>
      </w:pPr>
      <w:r>
        <w:rPr>
          <w:rFonts w:ascii="David" w:hAnsi="David" w:cs="David"/>
          <w:sz w:val="24"/>
          <w:szCs w:val="24"/>
          <w:rtl/>
        </w:rPr>
        <w:t>בכך, במלוא הכבוד, התעלמה הנתבעת מהעובדה שהתובעת עותרת להשבת תשלומי המכס גם מכח סעיף 3 לחוק מסים עקיפים. נכון הוא שיש להתייחס למסמכי ההעדפה ועל כך הרחבתי בסעיף 6 לעיל, אך לצד זאת זכאית התובעת לדיון גם מכח הוראות חוק מסים עקיפים – דיון אליו לא נערכה הנתבעת בחוות דעת או בהתייחסות עניינית נגדית.</w:t>
      </w:r>
    </w:p>
    <w:p w:rsidR="003F620D" w:rsidRDefault="003F620D" w:rsidP="003F620D">
      <w:pPr>
        <w:pStyle w:val="ad"/>
        <w:spacing w:line="360" w:lineRule="auto"/>
        <w:ind w:left="395"/>
        <w:jc w:val="both"/>
        <w:rPr>
          <w:rFonts w:ascii="David" w:hAnsi="David" w:cs="David"/>
          <w:sz w:val="24"/>
          <w:szCs w:val="24"/>
          <w:rtl/>
        </w:rPr>
      </w:pPr>
    </w:p>
    <w:p w:rsidR="003F620D" w:rsidRDefault="003F620D" w:rsidP="003F620D">
      <w:pPr>
        <w:pStyle w:val="ad"/>
        <w:numPr>
          <w:ilvl w:val="0"/>
          <w:numId w:val="15"/>
        </w:numPr>
        <w:spacing w:line="360" w:lineRule="auto"/>
        <w:jc w:val="both"/>
        <w:rPr>
          <w:rFonts w:ascii="David" w:hAnsi="David" w:cs="David"/>
          <w:sz w:val="24"/>
          <w:szCs w:val="24"/>
          <w:u w:val="single"/>
          <w:rtl/>
        </w:rPr>
      </w:pPr>
      <w:r>
        <w:rPr>
          <w:rFonts w:ascii="David" w:hAnsi="David" w:cs="David"/>
          <w:b/>
          <w:bCs/>
          <w:sz w:val="24"/>
          <w:szCs w:val="24"/>
          <w:u w:val="single"/>
          <w:rtl/>
        </w:rPr>
        <w:t>נימוק שלישי משלושה ביחס לכך שהתובעת סברה שהיא פטורה מתשלומי מכס – תצהירה של נציגת הנתבעת</w:t>
      </w:r>
    </w:p>
    <w:p w:rsidR="003F620D" w:rsidRDefault="003F620D" w:rsidP="003F620D">
      <w:pPr>
        <w:pStyle w:val="ad"/>
        <w:numPr>
          <w:ilvl w:val="0"/>
          <w:numId w:val="2"/>
        </w:numPr>
        <w:spacing w:line="360" w:lineRule="auto"/>
        <w:ind w:left="1440" w:hanging="478"/>
        <w:jc w:val="both"/>
        <w:rPr>
          <w:rFonts w:ascii="David" w:hAnsi="David" w:cs="David"/>
          <w:sz w:val="24"/>
          <w:szCs w:val="24"/>
        </w:rPr>
      </w:pPr>
      <w:r>
        <w:rPr>
          <w:rFonts w:ascii="David" w:hAnsi="David" w:cs="David"/>
          <w:sz w:val="24"/>
          <w:szCs w:val="24"/>
          <w:rtl/>
        </w:rPr>
        <w:t>דווקא הנתבעת, בהגינות רבה, הפנתה לכך שהתובעת נוהגת כדין, ועל כך שבעבר אומתו מסמכי העדפה שסיפקה התובעת.</w:t>
      </w:r>
    </w:p>
    <w:p w:rsidR="003F620D" w:rsidRDefault="003F620D" w:rsidP="003F620D">
      <w:pPr>
        <w:pStyle w:val="ad"/>
        <w:spacing w:line="360" w:lineRule="auto"/>
        <w:ind w:left="1440"/>
        <w:jc w:val="both"/>
        <w:rPr>
          <w:rFonts w:ascii="David" w:hAnsi="David" w:cs="David"/>
          <w:sz w:val="24"/>
          <w:szCs w:val="24"/>
        </w:rPr>
      </w:pPr>
    </w:p>
    <w:p w:rsidR="003F620D" w:rsidRDefault="003F620D" w:rsidP="003F620D">
      <w:pPr>
        <w:pStyle w:val="ad"/>
        <w:numPr>
          <w:ilvl w:val="0"/>
          <w:numId w:val="2"/>
        </w:numPr>
        <w:spacing w:line="360" w:lineRule="auto"/>
        <w:ind w:left="1440" w:hanging="478"/>
        <w:jc w:val="both"/>
        <w:rPr>
          <w:rFonts w:ascii="David" w:hAnsi="David" w:cs="David"/>
          <w:sz w:val="24"/>
          <w:szCs w:val="24"/>
        </w:rPr>
      </w:pPr>
      <w:r>
        <w:rPr>
          <w:rFonts w:ascii="David" w:hAnsi="David" w:cs="David"/>
          <w:sz w:val="24"/>
          <w:szCs w:val="24"/>
          <w:rtl/>
        </w:rPr>
        <w:t xml:space="preserve">בסעיף 14 לתצהיר נציגת </w:t>
      </w:r>
      <w:r>
        <w:rPr>
          <w:rFonts w:ascii="David" w:hAnsi="David" w:cs="David"/>
          <w:sz w:val="24"/>
          <w:szCs w:val="24"/>
          <w:u w:val="single"/>
          <w:rtl/>
        </w:rPr>
        <w:t>הנתבעת</w:t>
      </w:r>
      <w:r>
        <w:rPr>
          <w:rFonts w:ascii="David" w:hAnsi="David" w:cs="David"/>
          <w:sz w:val="24"/>
          <w:szCs w:val="24"/>
          <w:rtl/>
        </w:rPr>
        <w:t xml:space="preserve">, פורטו </w:t>
      </w:r>
      <w:r>
        <w:rPr>
          <w:rFonts w:ascii="David" w:hAnsi="David" w:cs="David"/>
          <w:b/>
          <w:bCs/>
          <w:sz w:val="24"/>
          <w:szCs w:val="24"/>
          <w:rtl/>
        </w:rPr>
        <w:t>"לפחות שלושה מקרים"</w:t>
      </w:r>
      <w:r>
        <w:rPr>
          <w:rFonts w:ascii="David" w:hAnsi="David" w:cs="David"/>
          <w:sz w:val="24"/>
          <w:szCs w:val="24"/>
          <w:rtl/>
        </w:rPr>
        <w:t xml:space="preserve"> בהם ייבאה התובעת כלי רכב שמסמכיהם אומתו בהצלחה. הנתבעת אף הציגה אסמכתאות לכך. כלומר – אין מדובר בהכרח בתובעת שהיא שור מועד המנסה להכניס כלי רכב לישראל תוך שימוש בידיעה שאינה אמת.</w:t>
      </w:r>
    </w:p>
    <w:p w:rsidR="003F620D" w:rsidRDefault="003F620D" w:rsidP="003F620D">
      <w:pPr>
        <w:pStyle w:val="ad"/>
        <w:spacing w:line="360" w:lineRule="auto"/>
        <w:ind w:left="536"/>
        <w:jc w:val="both"/>
        <w:rPr>
          <w:rFonts w:ascii="David" w:hAnsi="David" w:cs="David"/>
          <w:b/>
          <w:bCs/>
          <w:sz w:val="24"/>
          <w:szCs w:val="24"/>
          <w:u w:val="single"/>
          <w:rtl/>
        </w:rPr>
      </w:pPr>
    </w:p>
    <w:p w:rsidR="003F620D" w:rsidRDefault="003F620D" w:rsidP="003F620D">
      <w:pPr>
        <w:pStyle w:val="ad"/>
        <w:numPr>
          <w:ilvl w:val="1"/>
          <w:numId w:val="1"/>
        </w:numPr>
        <w:spacing w:line="360" w:lineRule="auto"/>
        <w:ind w:left="536" w:hanging="708"/>
        <w:jc w:val="both"/>
        <w:rPr>
          <w:rFonts w:ascii="David" w:hAnsi="David" w:cs="David"/>
          <w:sz w:val="24"/>
          <w:szCs w:val="24"/>
        </w:rPr>
      </w:pPr>
      <w:r>
        <w:rPr>
          <w:rFonts w:ascii="David" w:hAnsi="David" w:cs="David"/>
          <w:b/>
          <w:bCs/>
          <w:sz w:val="24"/>
          <w:szCs w:val="24"/>
          <w:u w:val="single"/>
          <w:rtl/>
        </w:rPr>
        <w:t>הסכום בו יש לחייב את הנתבעת</w:t>
      </w:r>
    </w:p>
    <w:p w:rsidR="003F620D" w:rsidRDefault="003F620D" w:rsidP="00953198">
      <w:pPr>
        <w:pStyle w:val="ad"/>
        <w:numPr>
          <w:ilvl w:val="0"/>
          <w:numId w:val="16"/>
        </w:numPr>
        <w:spacing w:line="360" w:lineRule="auto"/>
        <w:jc w:val="both"/>
        <w:rPr>
          <w:rFonts w:ascii="David" w:hAnsi="David" w:cs="David"/>
          <w:sz w:val="24"/>
          <w:szCs w:val="24"/>
        </w:rPr>
      </w:pPr>
      <w:r>
        <w:rPr>
          <w:rFonts w:ascii="David" w:hAnsi="David" w:cs="David"/>
          <w:sz w:val="24"/>
          <w:szCs w:val="24"/>
          <w:rtl/>
        </w:rPr>
        <w:t xml:space="preserve">שתי התביעות שאוחדו לדיון, מתייחסות לכלי רכב שיובאו בתקופה זהה – בין חודש ספטמבר 2019 לחודש מאי 2020. </w:t>
      </w:r>
      <w:r>
        <w:rPr>
          <w:rFonts w:ascii="David" w:hAnsi="David" w:cs="David"/>
          <w:sz w:val="24"/>
          <w:szCs w:val="24"/>
          <w:u w:val="single"/>
          <w:rtl/>
        </w:rPr>
        <w:t>בתביעה הראשונה</w:t>
      </w:r>
      <w:r>
        <w:rPr>
          <w:rFonts w:ascii="David" w:hAnsi="David" w:cs="David"/>
          <w:sz w:val="24"/>
          <w:szCs w:val="24"/>
          <w:rtl/>
        </w:rPr>
        <w:t xml:space="preserve"> שהוגשה בחודש ספטמבר 2020 התייחסה התובעת לחיוב בסך של 17,006 ₪ אך לא עתרה  להשבה מכח הוראות חוק המסים העקיפים. </w:t>
      </w:r>
      <w:r>
        <w:rPr>
          <w:rFonts w:ascii="David" w:hAnsi="David" w:cs="David"/>
          <w:sz w:val="24"/>
          <w:szCs w:val="24"/>
          <w:u w:val="single"/>
          <w:rtl/>
        </w:rPr>
        <w:t>בתביעה השניה</w:t>
      </w:r>
      <w:r>
        <w:rPr>
          <w:rFonts w:ascii="David" w:hAnsi="David" w:cs="David"/>
          <w:sz w:val="24"/>
          <w:szCs w:val="24"/>
          <w:rtl/>
        </w:rPr>
        <w:t xml:space="preserve"> שהוגשה כשמונה חודשים מאוחר יותר, בחודש מאי 2021 התייחסה התובעת לחיוב בסך של 141,496 ₪ והפעם עתרה  להשבה מכח הוראות חוק המסים העקיפים. </w:t>
      </w:r>
      <w:r w:rsidR="00953198">
        <w:rPr>
          <w:rFonts w:ascii="David" w:hAnsi="David" w:cs="David" w:hint="cs"/>
          <w:sz w:val="24"/>
          <w:szCs w:val="24"/>
          <w:rtl/>
        </w:rPr>
        <w:t>התובעת גם טענה לביטול קנס פיגורים ואולם לא מצאתי פירוט מדוייק של הקנס ששולם וממילא לא הצדקה בחוק מסים עקיפים להשבת סכום מעבר לסכום הנקוב שנתבע.</w:t>
      </w:r>
    </w:p>
    <w:p w:rsidR="003F620D" w:rsidRDefault="003F620D" w:rsidP="003F620D">
      <w:pPr>
        <w:pStyle w:val="ad"/>
        <w:spacing w:line="360" w:lineRule="auto"/>
        <w:ind w:left="896"/>
        <w:jc w:val="both"/>
        <w:rPr>
          <w:rFonts w:ascii="David" w:hAnsi="David" w:cs="David"/>
          <w:sz w:val="24"/>
          <w:szCs w:val="24"/>
        </w:rPr>
      </w:pPr>
    </w:p>
    <w:p w:rsidR="003F620D" w:rsidRDefault="003F620D" w:rsidP="003F620D">
      <w:pPr>
        <w:pStyle w:val="ad"/>
        <w:numPr>
          <w:ilvl w:val="0"/>
          <w:numId w:val="16"/>
        </w:numPr>
        <w:spacing w:line="360" w:lineRule="auto"/>
        <w:jc w:val="both"/>
        <w:rPr>
          <w:rFonts w:ascii="David" w:hAnsi="David" w:cs="David"/>
          <w:sz w:val="24"/>
          <w:szCs w:val="24"/>
        </w:rPr>
      </w:pPr>
      <w:r>
        <w:rPr>
          <w:rFonts w:ascii="David" w:hAnsi="David" w:cs="David"/>
          <w:sz w:val="24"/>
          <w:szCs w:val="24"/>
          <w:rtl/>
        </w:rPr>
        <w:lastRenderedPageBreak/>
        <w:t xml:space="preserve"> </w:t>
      </w:r>
      <w:r>
        <w:rPr>
          <w:rFonts w:ascii="David" w:hAnsi="David" w:cs="David" w:hint="cs"/>
          <w:sz w:val="24"/>
          <w:szCs w:val="24"/>
          <w:rtl/>
        </w:rPr>
        <w:t>מהאמור בסעיף 7.3 לעיל עולה שהתובעת עונה לדרישות סעיף 3 ל</w:t>
      </w:r>
      <w:r>
        <w:rPr>
          <w:rFonts w:ascii="David" w:hAnsi="David" w:cs="David" w:hint="cs"/>
          <w:sz w:val="24"/>
          <w:szCs w:val="24"/>
          <w:u w:val="single"/>
          <w:rtl/>
        </w:rPr>
        <w:t>חוק המסים העקיפים (מס ששולם בחסר או ביתר)</w:t>
      </w:r>
      <w:r>
        <w:rPr>
          <w:rFonts w:ascii="David" w:hAnsi="David" w:cs="David" w:hint="cs"/>
          <w:sz w:val="24"/>
          <w:szCs w:val="24"/>
          <w:rtl/>
        </w:rPr>
        <w:t xml:space="preserve">. בהינתן העובדה שהתובעת עתרה לתשלום מכח הוראות חוק המסים העקיפים רק במסגרת תביעת 2021, קרי ת"א 8411-05-21 – הרי יש לחייב את הנתבעת רק בסך של </w:t>
      </w:r>
      <w:r>
        <w:rPr>
          <w:rFonts w:ascii="David" w:hAnsi="David" w:cs="David" w:hint="cs"/>
          <w:b/>
          <w:bCs/>
          <w:sz w:val="24"/>
          <w:szCs w:val="24"/>
          <w:u w:val="single"/>
          <w:rtl/>
        </w:rPr>
        <w:t>141,496 ₪</w:t>
      </w:r>
      <w:r>
        <w:rPr>
          <w:rFonts w:ascii="David" w:hAnsi="David" w:cs="David" w:hint="cs"/>
          <w:sz w:val="24"/>
          <w:szCs w:val="24"/>
          <w:rtl/>
        </w:rPr>
        <w:t xml:space="preserve">. סכום זה יישא הפרשי הצמדה וריבית כחוק מיום 4/5/2021 ועד למועד התשלום בפועל. </w:t>
      </w:r>
    </w:p>
    <w:p w:rsidR="003F620D" w:rsidRDefault="003F620D" w:rsidP="003F620D">
      <w:pPr>
        <w:pStyle w:val="ad"/>
        <w:spacing w:line="360" w:lineRule="auto"/>
        <w:ind w:left="1115"/>
        <w:jc w:val="both"/>
        <w:rPr>
          <w:rFonts w:ascii="David" w:hAnsi="David" w:cs="David"/>
          <w:sz w:val="24"/>
          <w:szCs w:val="24"/>
          <w:rtl/>
        </w:rPr>
      </w:pPr>
    </w:p>
    <w:p w:rsidR="003F620D" w:rsidRDefault="003F620D" w:rsidP="003F620D">
      <w:pPr>
        <w:pStyle w:val="ad"/>
        <w:spacing w:line="360" w:lineRule="auto"/>
        <w:ind w:left="-598"/>
        <w:jc w:val="both"/>
        <w:rPr>
          <w:rFonts w:ascii="David" w:hAnsi="David" w:cs="David"/>
          <w:sz w:val="24"/>
          <w:szCs w:val="24"/>
          <w:rtl/>
        </w:rPr>
      </w:pPr>
      <w:r>
        <w:rPr>
          <w:rFonts w:ascii="David" w:hAnsi="David" w:cs="David"/>
          <w:b/>
          <w:bCs/>
          <w:sz w:val="28"/>
          <w:szCs w:val="28"/>
          <w:u w:val="single"/>
          <w:rtl/>
        </w:rPr>
        <w:t>חלק חמישי – הערה לפני סיום וכן תוצאת ההליך</w:t>
      </w:r>
      <w:r>
        <w:rPr>
          <w:rFonts w:ascii="David" w:hAnsi="David" w:cs="David"/>
          <w:sz w:val="24"/>
          <w:szCs w:val="24"/>
          <w:rtl/>
        </w:rPr>
        <w:t xml:space="preserve"> </w:t>
      </w:r>
    </w:p>
    <w:p w:rsidR="003F620D" w:rsidRDefault="003F620D" w:rsidP="003F620D">
      <w:pPr>
        <w:pStyle w:val="ad"/>
        <w:numPr>
          <w:ilvl w:val="0"/>
          <w:numId w:val="1"/>
        </w:numPr>
        <w:spacing w:line="360" w:lineRule="auto"/>
        <w:ind w:left="-172" w:hanging="284"/>
        <w:jc w:val="both"/>
        <w:rPr>
          <w:rFonts w:ascii="David" w:hAnsi="David" w:cs="David"/>
          <w:b/>
          <w:bCs/>
          <w:sz w:val="24"/>
          <w:szCs w:val="24"/>
          <w:u w:val="single"/>
        </w:rPr>
      </w:pPr>
      <w:r>
        <w:rPr>
          <w:rFonts w:ascii="David" w:hAnsi="David" w:cs="David"/>
          <w:b/>
          <w:bCs/>
          <w:sz w:val="24"/>
          <w:szCs w:val="24"/>
          <w:u w:val="single"/>
          <w:rtl/>
        </w:rPr>
        <w:t>הערה לפני סיום</w:t>
      </w:r>
    </w:p>
    <w:p w:rsidR="003F620D" w:rsidRDefault="003F620D" w:rsidP="003F620D">
      <w:pPr>
        <w:pStyle w:val="ad"/>
        <w:spacing w:line="360" w:lineRule="auto"/>
        <w:ind w:left="-172"/>
        <w:jc w:val="both"/>
        <w:rPr>
          <w:rFonts w:ascii="David" w:hAnsi="David" w:cs="David"/>
          <w:sz w:val="24"/>
          <w:szCs w:val="24"/>
        </w:rPr>
      </w:pPr>
      <w:r>
        <w:rPr>
          <w:rFonts w:ascii="David" w:hAnsi="David" w:cs="David"/>
          <w:sz w:val="24"/>
          <w:szCs w:val="24"/>
          <w:rtl/>
        </w:rPr>
        <w:t>הקביעה לפיה יש לחייב את הנתבעת מכח הוראות חוק מסים עקיפים (מס ששולם בחסר או ביתר) מתייחסת להליך כאן ולתביעות בהן ניתן פסק הדין כעת. למען הסר ספק, אין בכך משום קביעה לפיה ייבוא עתידי של כלי רכב יזכה את התובעת בפטור כלשהו או בזכות להשבת חיובי מכס.</w:t>
      </w:r>
    </w:p>
    <w:p w:rsidR="003F620D" w:rsidRDefault="003F620D" w:rsidP="003F620D">
      <w:pPr>
        <w:pStyle w:val="ad"/>
        <w:spacing w:line="360" w:lineRule="auto"/>
        <w:ind w:left="-172"/>
        <w:jc w:val="both"/>
        <w:rPr>
          <w:rFonts w:ascii="David" w:hAnsi="David" w:cs="David"/>
          <w:sz w:val="24"/>
          <w:szCs w:val="24"/>
          <w:u w:val="single"/>
          <w:rtl/>
        </w:rPr>
      </w:pPr>
    </w:p>
    <w:p w:rsidR="003F620D" w:rsidRDefault="003F620D" w:rsidP="003F620D">
      <w:pPr>
        <w:pStyle w:val="ad"/>
        <w:numPr>
          <w:ilvl w:val="0"/>
          <w:numId w:val="1"/>
        </w:numPr>
        <w:spacing w:line="360" w:lineRule="auto"/>
        <w:ind w:left="-172" w:hanging="284"/>
        <w:jc w:val="both"/>
        <w:rPr>
          <w:rFonts w:ascii="David" w:hAnsi="David" w:cs="David"/>
          <w:b/>
          <w:bCs/>
          <w:sz w:val="24"/>
          <w:szCs w:val="24"/>
        </w:rPr>
      </w:pPr>
      <w:r>
        <w:rPr>
          <w:rFonts w:ascii="David" w:hAnsi="David" w:cs="David"/>
          <w:b/>
          <w:bCs/>
          <w:sz w:val="24"/>
          <w:szCs w:val="24"/>
          <w:u w:val="single"/>
          <w:rtl/>
        </w:rPr>
        <w:t>סוף דבר</w:t>
      </w:r>
    </w:p>
    <w:p w:rsidR="003F620D" w:rsidRDefault="003F620D" w:rsidP="003F620D">
      <w:pPr>
        <w:pStyle w:val="ad"/>
        <w:spacing w:line="360" w:lineRule="auto"/>
        <w:ind w:left="-172"/>
        <w:jc w:val="both"/>
        <w:rPr>
          <w:rFonts w:ascii="David" w:hAnsi="David" w:cs="David"/>
          <w:sz w:val="24"/>
          <w:szCs w:val="24"/>
        </w:rPr>
      </w:pPr>
      <w:r>
        <w:rPr>
          <w:rFonts w:ascii="David" w:hAnsi="David" w:cs="David"/>
          <w:sz w:val="24"/>
          <w:szCs w:val="24"/>
          <w:rtl/>
        </w:rPr>
        <w:t xml:space="preserve">לאור האמור לעיל אני דוחה התביעות למתן סעד הצהרתי. לצד זאת אני מחייב את הנתבעת בתשלום הסך של </w:t>
      </w:r>
      <w:r>
        <w:rPr>
          <w:rFonts w:ascii="David" w:hAnsi="David" w:cs="David"/>
          <w:b/>
          <w:bCs/>
          <w:sz w:val="24"/>
          <w:szCs w:val="24"/>
          <w:u w:val="single"/>
          <w:rtl/>
        </w:rPr>
        <w:t>141,496 ₪</w:t>
      </w:r>
      <w:r>
        <w:rPr>
          <w:rFonts w:ascii="David" w:hAnsi="David" w:cs="David"/>
          <w:sz w:val="24"/>
          <w:szCs w:val="24"/>
          <w:rtl/>
        </w:rPr>
        <w:t xml:space="preserve"> בצירוף הפרשי הצמדה וריבית מיום 4/5/2021 ועד למועד התשלום בפועל. באשר לחיוב בהוצאות ובש</w:t>
      </w:r>
      <w:r w:rsidR="00953198">
        <w:rPr>
          <w:rFonts w:ascii="David" w:hAnsi="David" w:cs="David"/>
          <w:sz w:val="24"/>
          <w:szCs w:val="24"/>
          <w:rtl/>
        </w:rPr>
        <w:t>כר טרחת עו"ד - לאור תוצאת ההליך</w:t>
      </w:r>
      <w:r>
        <w:rPr>
          <w:rFonts w:ascii="David" w:hAnsi="David" w:cs="David"/>
          <w:sz w:val="24"/>
          <w:szCs w:val="24"/>
          <w:rtl/>
        </w:rPr>
        <w:t xml:space="preserve"> לפיה חלק מהסעדים הנתבעים נדחו, ולמעשה התביעה בת"א 21649-09-20 נדחתה במלואה ומנגד חויבה הנתבעת בתשלום – אני מחייב את הנתבעת בתשלום הוצאות משפט ושכר טרחת עו"ד בסך כולל של </w:t>
      </w:r>
      <w:r>
        <w:rPr>
          <w:rFonts w:ascii="David" w:hAnsi="David" w:cs="David"/>
          <w:b/>
          <w:bCs/>
          <w:sz w:val="24"/>
          <w:szCs w:val="24"/>
          <w:u w:val="single"/>
          <w:rtl/>
        </w:rPr>
        <w:t>10,000 ₪</w:t>
      </w:r>
      <w:r>
        <w:rPr>
          <w:rFonts w:ascii="David" w:hAnsi="David" w:cs="David"/>
          <w:sz w:val="24"/>
          <w:szCs w:val="24"/>
          <w:rtl/>
        </w:rPr>
        <w:t>, בצירוף הפרשי הצמדה וריבית כחוק ממועד פסק הדין ועד למועד התשלום בפועל.</w:t>
      </w:r>
    </w:p>
    <w:p w:rsidR="00915EFC" w:rsidRDefault="00915EFC" w:rsidP="00B15761">
      <w:pPr>
        <w:spacing w:line="360" w:lineRule="auto"/>
        <w:ind w:left="-200"/>
        <w:jc w:val="both"/>
        <w:rPr>
          <w:rFonts w:ascii="Arial" w:hAnsi="Arial"/>
          <w:noProof w:val="0"/>
          <w:rtl/>
        </w:rPr>
      </w:pPr>
    </w:p>
    <w:p w:rsidR="00694556" w:rsidRDefault="00005C8B" w:rsidP="00B15761">
      <w:pPr>
        <w:spacing w:line="360" w:lineRule="auto"/>
        <w:ind w:left="-20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445367">
        <w:rPr>
          <w:rFonts w:ascii="Arial" w:hAnsi="Arial"/>
          <w:noProof w:val="0"/>
          <w:rtl/>
        </w:rPr>
        <w:tab/>
      </w:r>
      <w:r w:rsidR="00445367">
        <w:rPr>
          <w:rFonts w:ascii="Arial" w:hAnsi="Arial"/>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A14D9" w:rsidP="00445367">
      <w:pPr>
        <w:spacing w:line="360" w:lineRule="auto"/>
        <w:ind w:left="5040" w:firstLine="720"/>
      </w:pPr>
      <w:sdt>
        <w:sdtPr>
          <w:rPr>
            <w:rtl/>
          </w:rPr>
          <w:alias w:val="MergeField"/>
          <w:tag w:val="1237"/>
          <w:id w:val="240455370"/>
        </w:sdtPr>
        <w:sdtEndPr/>
        <w:sdtContent>
          <w:r>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445367">
      <w:pPr>
        <w:spacing w:line="360" w:lineRule="auto"/>
        <w:ind w:left="504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B15761">
      <w:headerReference w:type="even" r:id="rId9"/>
      <w:headerReference w:type="default" r:id="rId10"/>
      <w:footerReference w:type="even" r:id="rId11"/>
      <w:footerReference w:type="default" r:id="rId12"/>
      <w:headerReference w:type="first" r:id="rId13"/>
      <w:footerReference w:type="first" r:id="rId14"/>
      <w:pgSz w:w="11907" w:h="16840" w:code="9"/>
      <w:pgMar w:top="1134" w:right="1588" w:bottom="1021" w:left="1588"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A62BD0" w:rsidRDefault="002352F7">
    <w:pPr>
      <w:pStyle w:val="a4"/>
      <w:jc w:val="center"/>
      <w:rPr>
        <w:rStyle w:val="ab"/>
      </w:rPr>
    </w:pPr>
    <w:r w:rsidRPr="00A62BD0">
      <w:rPr>
        <w:rStyle w:val="ab"/>
      </w:rPr>
      <w:fldChar w:fldCharType="begin"/>
    </w:r>
    <w:r w:rsidR="00005C8B" w:rsidRPr="00A62BD0">
      <w:rPr>
        <w:rStyle w:val="ab"/>
      </w:rPr>
      <w:instrText xml:space="preserve"> PAGE </w:instrText>
    </w:r>
    <w:r w:rsidRPr="00A62BD0">
      <w:rPr>
        <w:rStyle w:val="ab"/>
      </w:rPr>
      <w:fldChar w:fldCharType="separate"/>
    </w:r>
    <w:r w:rsidR="00FA14D9">
      <w:rPr>
        <w:rStyle w:val="ab"/>
        <w:rtl/>
      </w:rPr>
      <w:t>1</w:t>
    </w:r>
    <w:r w:rsidRPr="00A62BD0">
      <w:rPr>
        <w:rStyle w:val="ab"/>
      </w:rPr>
      <w:fldChar w:fldCharType="end"/>
    </w:r>
    <w:r w:rsidR="00005C8B" w:rsidRPr="00A62BD0">
      <w:rPr>
        <w:rStyle w:val="ab"/>
        <w:rFonts w:hint="cs"/>
        <w:rtl/>
      </w:rPr>
      <w:t xml:space="preserve"> מתוך </w:t>
    </w:r>
    <w:r w:rsidRPr="00A62BD0">
      <w:rPr>
        <w:rStyle w:val="ab"/>
      </w:rPr>
      <w:fldChar w:fldCharType="begin"/>
    </w:r>
    <w:r w:rsidR="00005C8B" w:rsidRPr="00A62BD0">
      <w:rPr>
        <w:rStyle w:val="ab"/>
      </w:rPr>
      <w:instrText xml:space="preserve"> NUMPAGES </w:instrText>
    </w:r>
    <w:r w:rsidRPr="00A62BD0">
      <w:rPr>
        <w:rStyle w:val="ab"/>
      </w:rPr>
      <w:fldChar w:fldCharType="separate"/>
    </w:r>
    <w:r w:rsidR="00FA14D9">
      <w:rPr>
        <w:rStyle w:val="ab"/>
        <w:rtl/>
      </w:rPr>
      <w:t>15</w:t>
    </w:r>
    <w:r w:rsidRPr="00A62BD0">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00BC388D" wp14:editId="4FD22DBF">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26B56">
      <w:trPr>
        <w:trHeight w:hRule="exact" w:val="670"/>
        <w:jc w:val="center"/>
      </w:trPr>
      <w:sdt>
        <w:sdtPr>
          <w:rPr>
            <w:sz w:val="32"/>
            <w:szCs w:val="32"/>
            <w:rtl/>
          </w:rPr>
          <w:alias w:val="1174"/>
          <w:tag w:val="1174"/>
          <w:id w:val="-1775709220"/>
          <w:text/>
        </w:sdtPr>
        <w:sdtEndPr/>
        <w:sdtContent>
          <w:tc>
            <w:tcPr>
              <w:tcW w:w="8307" w:type="dxa"/>
            </w:tcPr>
            <w:p w:rsidR="00D26B56"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השלום בתל אביב - יפו</w:t>
              </w:r>
            </w:p>
            <w:p w:rsidR="00694556" w:rsidRPr="00D26B56" w:rsidRDefault="00694556" w:rsidP="00D26B56">
              <w:pPr>
                <w:rPr>
                  <w:rtl/>
                </w:rPr>
              </w:pPr>
            </w:p>
          </w:tc>
        </w:sdtContent>
      </w:sdt>
    </w:tr>
    <w:tr w:rsidR="00694556" w:rsidRPr="00CD0055" w:rsidTr="00D26B56">
      <w:trPr>
        <w:trHeight w:val="337"/>
        <w:jc w:val="center"/>
      </w:trPr>
      <w:tc>
        <w:tcPr>
          <w:tcW w:w="8307" w:type="dxa"/>
        </w:tcPr>
        <w:p w:rsidR="00694556" w:rsidRPr="00CD0055" w:rsidRDefault="00FA14D9" w:rsidP="004C5CA7">
          <w:pPr>
            <w:rPr>
              <w:b/>
              <w:bCs/>
              <w:noProof w:val="0"/>
              <w:sz w:val="26"/>
              <w:szCs w:val="26"/>
              <w:rtl/>
            </w:rPr>
          </w:pPr>
          <w:sdt>
            <w:sdtPr>
              <w:rPr>
                <w:b/>
                <w:bCs/>
                <w:noProof w:val="0"/>
                <w:sz w:val="26"/>
                <w:szCs w:val="26"/>
                <w:rtl/>
              </w:rPr>
              <w:alias w:val="1170"/>
              <w:tag w:val="1170"/>
              <w:id w:val="299038016"/>
              <w:text w:multiLine="1"/>
            </w:sdtPr>
            <w:sdtEndPr/>
            <w:sdtContent>
              <w:r w:rsidR="00445367">
                <w:rPr>
                  <w:b/>
                  <w:bCs/>
                  <w:noProof w:val="0"/>
                  <w:sz w:val="26"/>
                  <w:szCs w:val="26"/>
                  <w:rtl/>
                </w:rPr>
                <w:t>ת"א</w:t>
              </w:r>
            </w:sdtContent>
          </w:sdt>
          <w:r w:rsidR="00005C8B" w:rsidRPr="00CD0055">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445367">
                <w:rPr>
                  <w:b/>
                  <w:bCs/>
                  <w:noProof w:val="0"/>
                  <w:sz w:val="26"/>
                  <w:szCs w:val="26"/>
                  <w:rtl/>
                </w:rPr>
                <w:t>8411-05-21</w:t>
              </w:r>
            </w:sdtContent>
          </w:sdt>
          <w:bookmarkEnd w:id="1"/>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445367">
                <w:rPr>
                  <w:b/>
                  <w:bCs/>
                  <w:noProof w:val="0"/>
                  <w:sz w:val="26"/>
                  <w:szCs w:val="26"/>
                  <w:rtl/>
                </w:rPr>
                <w:t>מאי מוטורס (2015) בע"מ נ' מדינת ישראל</w:t>
              </w:r>
            </w:sdtContent>
          </w:sdt>
        </w:p>
        <w:p w:rsidR="00957C90" w:rsidRPr="00CD0055" w:rsidRDefault="00FA14D9" w:rsidP="000B3EE1">
          <w:pPr>
            <w:rPr>
              <w:b/>
              <w:bCs/>
              <w:noProof w:val="0"/>
              <w:sz w:val="26"/>
              <w:szCs w:val="26"/>
              <w:rtl/>
            </w:rPr>
          </w:pPr>
          <w:sdt>
            <w:sdtPr>
              <w:rPr>
                <w:b/>
                <w:bCs/>
                <w:noProof w:val="0"/>
                <w:sz w:val="26"/>
                <w:szCs w:val="26"/>
                <w:rtl/>
              </w:rPr>
              <w:alias w:val="1170"/>
              <w:tag w:val="1170"/>
              <w:id w:val="720017273"/>
              <w:text w:multiLine="1"/>
            </w:sdtPr>
            <w:sdtEndPr/>
            <w:sdtContent>
              <w:r w:rsidR="00445367">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1802261963"/>
              <w:text w:multiLine="1"/>
            </w:sdtPr>
            <w:sdtEndPr/>
            <w:sdtContent>
              <w:r w:rsidR="00445367">
                <w:rPr>
                  <w:b/>
                  <w:bCs/>
                  <w:noProof w:val="0"/>
                  <w:sz w:val="26"/>
                  <w:szCs w:val="26"/>
                  <w:rtl/>
                </w:rPr>
                <w:t>21649-09-20</w:t>
              </w:r>
            </w:sdtContent>
          </w:sdt>
          <w:r w:rsidR="00005C8B" w:rsidRPr="00CD0055">
            <w:rPr>
              <w:b/>
              <w:bCs/>
              <w:noProof w:val="0"/>
              <w:sz w:val="26"/>
              <w:szCs w:val="26"/>
              <w:rtl/>
            </w:rPr>
            <w:t xml:space="preserve"> </w:t>
          </w:r>
          <w:sdt>
            <w:sdtPr>
              <w:rPr>
                <w:b/>
                <w:bCs/>
                <w:noProof w:val="0"/>
                <w:sz w:val="26"/>
                <w:szCs w:val="26"/>
                <w:rtl/>
              </w:rPr>
              <w:alias w:val="1172"/>
              <w:tag w:val="1172"/>
              <w:id w:val="-1743316021"/>
              <w:text w:multiLine="1"/>
            </w:sdtPr>
            <w:sdtEndPr/>
            <w:sdtContent>
              <w:r w:rsidR="00445367">
                <w:rPr>
                  <w:b/>
                  <w:bCs/>
                  <w:noProof w:val="0"/>
                  <w:sz w:val="26"/>
                  <w:szCs w:val="26"/>
                  <w:rtl/>
                </w:rPr>
                <w:t>מאי מוטורס (2015) בע"מ נ' מדינת ישראל</w:t>
              </w:r>
            </w:sdtContent>
          </w:sdt>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5A72"/>
    <w:multiLevelType w:val="hybridMultilevel"/>
    <w:tmpl w:val="4ACA9610"/>
    <w:lvl w:ilvl="0" w:tplc="116CE15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 w15:restartNumberingAfterBreak="0">
    <w:nsid w:val="068C5075"/>
    <w:multiLevelType w:val="hybridMultilevel"/>
    <w:tmpl w:val="EA86BDF2"/>
    <w:lvl w:ilvl="0" w:tplc="C65EB010">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2" w15:restartNumberingAfterBreak="0">
    <w:nsid w:val="16502E49"/>
    <w:multiLevelType w:val="multilevel"/>
    <w:tmpl w:val="EE329E3C"/>
    <w:lvl w:ilvl="0">
      <w:start w:val="1"/>
      <w:numFmt w:val="decimal"/>
      <w:lvlText w:val="%1."/>
      <w:lvlJc w:val="left"/>
      <w:pPr>
        <w:ind w:left="720" w:hanging="360"/>
      </w:pPr>
    </w:lvl>
    <w:lvl w:ilvl="1">
      <w:start w:val="1"/>
      <w:numFmt w:val="decimal"/>
      <w:isLgl/>
      <w:lvlText w:val="%1.%2"/>
      <w:lvlJc w:val="left"/>
      <w:pPr>
        <w:ind w:left="1069" w:hanging="360"/>
      </w:pPr>
      <w:rPr>
        <w:b w:val="0"/>
        <w:bCs w:val="0"/>
        <w:lang w:val="en-US" w:bidi="he-IL"/>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3" w15:restartNumberingAfterBreak="0">
    <w:nsid w:val="18C87674"/>
    <w:multiLevelType w:val="hybridMultilevel"/>
    <w:tmpl w:val="FA4E4C6A"/>
    <w:lvl w:ilvl="0" w:tplc="D572F346">
      <w:start w:val="1"/>
      <w:numFmt w:val="hebrew1"/>
      <w:lvlText w:val="(%1)"/>
      <w:lvlJc w:val="left"/>
      <w:pPr>
        <w:ind w:left="1115" w:hanging="360"/>
      </w:pPr>
      <w:rPr>
        <w:rFonts w:ascii="David" w:eastAsiaTheme="minorHAnsi" w:hAnsi="David" w:cs="David"/>
      </w:rPr>
    </w:lvl>
    <w:lvl w:ilvl="1" w:tplc="04090003">
      <w:start w:val="1"/>
      <w:numFmt w:val="bullet"/>
      <w:lvlText w:val="o"/>
      <w:lvlJc w:val="left"/>
      <w:pPr>
        <w:ind w:left="1835" w:hanging="360"/>
      </w:pPr>
      <w:rPr>
        <w:rFonts w:ascii="Courier New" w:hAnsi="Courier New" w:cs="Courier New" w:hint="default"/>
      </w:rPr>
    </w:lvl>
    <w:lvl w:ilvl="2" w:tplc="04090005">
      <w:start w:val="1"/>
      <w:numFmt w:val="bullet"/>
      <w:lvlText w:val=""/>
      <w:lvlJc w:val="left"/>
      <w:pPr>
        <w:ind w:left="2555" w:hanging="360"/>
      </w:pPr>
      <w:rPr>
        <w:rFonts w:ascii="Wingdings" w:hAnsi="Wingdings" w:hint="default"/>
      </w:rPr>
    </w:lvl>
    <w:lvl w:ilvl="3" w:tplc="04090001">
      <w:start w:val="1"/>
      <w:numFmt w:val="bullet"/>
      <w:lvlText w:val=""/>
      <w:lvlJc w:val="left"/>
      <w:pPr>
        <w:ind w:left="3275" w:hanging="360"/>
      </w:pPr>
      <w:rPr>
        <w:rFonts w:ascii="Symbol" w:hAnsi="Symbol" w:hint="default"/>
      </w:rPr>
    </w:lvl>
    <w:lvl w:ilvl="4" w:tplc="04090003">
      <w:start w:val="1"/>
      <w:numFmt w:val="bullet"/>
      <w:lvlText w:val="o"/>
      <w:lvlJc w:val="left"/>
      <w:pPr>
        <w:ind w:left="3995" w:hanging="360"/>
      </w:pPr>
      <w:rPr>
        <w:rFonts w:ascii="Courier New" w:hAnsi="Courier New" w:cs="Courier New" w:hint="default"/>
      </w:rPr>
    </w:lvl>
    <w:lvl w:ilvl="5" w:tplc="04090005">
      <w:start w:val="1"/>
      <w:numFmt w:val="bullet"/>
      <w:lvlText w:val=""/>
      <w:lvlJc w:val="left"/>
      <w:pPr>
        <w:ind w:left="4715" w:hanging="360"/>
      </w:pPr>
      <w:rPr>
        <w:rFonts w:ascii="Wingdings" w:hAnsi="Wingdings" w:hint="default"/>
      </w:rPr>
    </w:lvl>
    <w:lvl w:ilvl="6" w:tplc="04090001">
      <w:start w:val="1"/>
      <w:numFmt w:val="bullet"/>
      <w:lvlText w:val=""/>
      <w:lvlJc w:val="left"/>
      <w:pPr>
        <w:ind w:left="5435" w:hanging="360"/>
      </w:pPr>
      <w:rPr>
        <w:rFonts w:ascii="Symbol" w:hAnsi="Symbol" w:hint="default"/>
      </w:rPr>
    </w:lvl>
    <w:lvl w:ilvl="7" w:tplc="04090003">
      <w:start w:val="1"/>
      <w:numFmt w:val="bullet"/>
      <w:lvlText w:val="o"/>
      <w:lvlJc w:val="left"/>
      <w:pPr>
        <w:ind w:left="6155" w:hanging="360"/>
      </w:pPr>
      <w:rPr>
        <w:rFonts w:ascii="Courier New" w:hAnsi="Courier New" w:cs="Courier New" w:hint="default"/>
      </w:rPr>
    </w:lvl>
    <w:lvl w:ilvl="8" w:tplc="04090005">
      <w:start w:val="1"/>
      <w:numFmt w:val="bullet"/>
      <w:lvlText w:val=""/>
      <w:lvlJc w:val="left"/>
      <w:pPr>
        <w:ind w:left="6875" w:hanging="360"/>
      </w:pPr>
      <w:rPr>
        <w:rFonts w:ascii="Wingdings" w:hAnsi="Wingdings" w:hint="default"/>
      </w:rPr>
    </w:lvl>
  </w:abstractNum>
  <w:abstractNum w:abstractNumId="4" w15:restartNumberingAfterBreak="0">
    <w:nsid w:val="34EE5EAE"/>
    <w:multiLevelType w:val="hybridMultilevel"/>
    <w:tmpl w:val="A566DC78"/>
    <w:lvl w:ilvl="0" w:tplc="15B28E0A">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5" w15:restartNumberingAfterBreak="0">
    <w:nsid w:val="3F3E753B"/>
    <w:multiLevelType w:val="hybridMultilevel"/>
    <w:tmpl w:val="04AEF1D2"/>
    <w:lvl w:ilvl="0" w:tplc="3EF6C69C">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6" w15:restartNumberingAfterBreak="0">
    <w:nsid w:val="3FB415C6"/>
    <w:multiLevelType w:val="hybridMultilevel"/>
    <w:tmpl w:val="5AC254CE"/>
    <w:lvl w:ilvl="0" w:tplc="A16059FA">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7" w15:restartNumberingAfterBreak="0">
    <w:nsid w:val="400F5256"/>
    <w:multiLevelType w:val="hybridMultilevel"/>
    <w:tmpl w:val="C7A822EC"/>
    <w:lvl w:ilvl="0" w:tplc="250497AA">
      <w:start w:val="1"/>
      <w:numFmt w:val="hebrew1"/>
      <w:lvlText w:val="(%1)"/>
      <w:lvlJc w:val="left"/>
      <w:pPr>
        <w:ind w:left="1115" w:hanging="360"/>
      </w:pPr>
    </w:lvl>
    <w:lvl w:ilvl="1" w:tplc="04090019">
      <w:start w:val="1"/>
      <w:numFmt w:val="lowerLetter"/>
      <w:lvlText w:val="%2."/>
      <w:lvlJc w:val="left"/>
      <w:pPr>
        <w:ind w:left="1835" w:hanging="360"/>
      </w:pPr>
    </w:lvl>
    <w:lvl w:ilvl="2" w:tplc="0409001B">
      <w:start w:val="1"/>
      <w:numFmt w:val="lowerRoman"/>
      <w:lvlText w:val="%3."/>
      <w:lvlJc w:val="right"/>
      <w:pPr>
        <w:ind w:left="2555" w:hanging="180"/>
      </w:pPr>
    </w:lvl>
    <w:lvl w:ilvl="3" w:tplc="0409000F">
      <w:start w:val="1"/>
      <w:numFmt w:val="decimal"/>
      <w:lvlText w:val="%4."/>
      <w:lvlJc w:val="left"/>
      <w:pPr>
        <w:ind w:left="3275" w:hanging="360"/>
      </w:pPr>
    </w:lvl>
    <w:lvl w:ilvl="4" w:tplc="04090019">
      <w:start w:val="1"/>
      <w:numFmt w:val="lowerLetter"/>
      <w:lvlText w:val="%5."/>
      <w:lvlJc w:val="left"/>
      <w:pPr>
        <w:ind w:left="3995" w:hanging="360"/>
      </w:pPr>
    </w:lvl>
    <w:lvl w:ilvl="5" w:tplc="0409001B">
      <w:start w:val="1"/>
      <w:numFmt w:val="lowerRoman"/>
      <w:lvlText w:val="%6."/>
      <w:lvlJc w:val="right"/>
      <w:pPr>
        <w:ind w:left="4715" w:hanging="180"/>
      </w:pPr>
    </w:lvl>
    <w:lvl w:ilvl="6" w:tplc="0409000F">
      <w:start w:val="1"/>
      <w:numFmt w:val="decimal"/>
      <w:lvlText w:val="%7."/>
      <w:lvlJc w:val="left"/>
      <w:pPr>
        <w:ind w:left="5435" w:hanging="360"/>
      </w:pPr>
    </w:lvl>
    <w:lvl w:ilvl="7" w:tplc="04090019">
      <w:start w:val="1"/>
      <w:numFmt w:val="lowerLetter"/>
      <w:lvlText w:val="%8."/>
      <w:lvlJc w:val="left"/>
      <w:pPr>
        <w:ind w:left="6155" w:hanging="360"/>
      </w:pPr>
    </w:lvl>
    <w:lvl w:ilvl="8" w:tplc="0409001B">
      <w:start w:val="1"/>
      <w:numFmt w:val="lowerRoman"/>
      <w:lvlText w:val="%9."/>
      <w:lvlJc w:val="right"/>
      <w:pPr>
        <w:ind w:left="6875" w:hanging="180"/>
      </w:pPr>
    </w:lvl>
  </w:abstractNum>
  <w:abstractNum w:abstractNumId="8" w15:restartNumberingAfterBreak="0">
    <w:nsid w:val="41F348A5"/>
    <w:multiLevelType w:val="hybridMultilevel"/>
    <w:tmpl w:val="21E6EBBC"/>
    <w:lvl w:ilvl="0" w:tplc="77CA010A">
      <w:start w:val="1"/>
      <w:numFmt w:val="hebrew1"/>
      <w:lvlText w:val="(%1)"/>
      <w:lvlJc w:val="left"/>
      <w:pPr>
        <w:ind w:left="1115" w:hanging="360"/>
      </w:pPr>
    </w:lvl>
    <w:lvl w:ilvl="1" w:tplc="04090019">
      <w:start w:val="1"/>
      <w:numFmt w:val="lowerLetter"/>
      <w:lvlText w:val="%2."/>
      <w:lvlJc w:val="left"/>
      <w:pPr>
        <w:ind w:left="1835" w:hanging="360"/>
      </w:pPr>
    </w:lvl>
    <w:lvl w:ilvl="2" w:tplc="0409001B">
      <w:start w:val="1"/>
      <w:numFmt w:val="lowerRoman"/>
      <w:lvlText w:val="%3."/>
      <w:lvlJc w:val="right"/>
      <w:pPr>
        <w:ind w:left="2555" w:hanging="180"/>
      </w:pPr>
    </w:lvl>
    <w:lvl w:ilvl="3" w:tplc="0409000F">
      <w:start w:val="1"/>
      <w:numFmt w:val="decimal"/>
      <w:lvlText w:val="%4."/>
      <w:lvlJc w:val="left"/>
      <w:pPr>
        <w:ind w:left="3275" w:hanging="360"/>
      </w:pPr>
    </w:lvl>
    <w:lvl w:ilvl="4" w:tplc="04090019">
      <w:start w:val="1"/>
      <w:numFmt w:val="lowerLetter"/>
      <w:lvlText w:val="%5."/>
      <w:lvlJc w:val="left"/>
      <w:pPr>
        <w:ind w:left="3995" w:hanging="360"/>
      </w:pPr>
    </w:lvl>
    <w:lvl w:ilvl="5" w:tplc="0409001B">
      <w:start w:val="1"/>
      <w:numFmt w:val="lowerRoman"/>
      <w:lvlText w:val="%6."/>
      <w:lvlJc w:val="right"/>
      <w:pPr>
        <w:ind w:left="4715" w:hanging="180"/>
      </w:pPr>
    </w:lvl>
    <w:lvl w:ilvl="6" w:tplc="0409000F">
      <w:start w:val="1"/>
      <w:numFmt w:val="decimal"/>
      <w:lvlText w:val="%7."/>
      <w:lvlJc w:val="left"/>
      <w:pPr>
        <w:ind w:left="5435" w:hanging="360"/>
      </w:pPr>
    </w:lvl>
    <w:lvl w:ilvl="7" w:tplc="04090019">
      <w:start w:val="1"/>
      <w:numFmt w:val="lowerLetter"/>
      <w:lvlText w:val="%8."/>
      <w:lvlJc w:val="left"/>
      <w:pPr>
        <w:ind w:left="6155" w:hanging="360"/>
      </w:pPr>
    </w:lvl>
    <w:lvl w:ilvl="8" w:tplc="0409001B">
      <w:start w:val="1"/>
      <w:numFmt w:val="lowerRoman"/>
      <w:lvlText w:val="%9."/>
      <w:lvlJc w:val="right"/>
      <w:pPr>
        <w:ind w:left="6875" w:hanging="180"/>
      </w:pPr>
    </w:lvl>
  </w:abstractNum>
  <w:abstractNum w:abstractNumId="9" w15:restartNumberingAfterBreak="0">
    <w:nsid w:val="435E3BAB"/>
    <w:multiLevelType w:val="hybridMultilevel"/>
    <w:tmpl w:val="9F807270"/>
    <w:lvl w:ilvl="0" w:tplc="9EBAB1AC">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0" w15:restartNumberingAfterBreak="0">
    <w:nsid w:val="49B2794C"/>
    <w:multiLevelType w:val="hybridMultilevel"/>
    <w:tmpl w:val="33628CEA"/>
    <w:lvl w:ilvl="0" w:tplc="552AA7BA">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1" w15:restartNumberingAfterBreak="0">
    <w:nsid w:val="4DB00E00"/>
    <w:multiLevelType w:val="hybridMultilevel"/>
    <w:tmpl w:val="97DEADDA"/>
    <w:lvl w:ilvl="0" w:tplc="98240DFA">
      <w:start w:val="1"/>
      <w:numFmt w:val="bullet"/>
      <w:lvlText w:val="-"/>
      <w:lvlJc w:val="left"/>
      <w:pPr>
        <w:ind w:left="755" w:hanging="360"/>
      </w:pPr>
      <w:rPr>
        <w:rFonts w:ascii="David" w:eastAsiaTheme="minorHAnsi" w:hAnsi="David" w:cs="David" w:hint="default"/>
      </w:rPr>
    </w:lvl>
    <w:lvl w:ilvl="1" w:tplc="04090003">
      <w:start w:val="1"/>
      <w:numFmt w:val="bullet"/>
      <w:lvlText w:val="o"/>
      <w:lvlJc w:val="left"/>
      <w:pPr>
        <w:ind w:left="1475" w:hanging="360"/>
      </w:pPr>
      <w:rPr>
        <w:rFonts w:ascii="Courier New" w:hAnsi="Courier New" w:cs="Courier New" w:hint="default"/>
      </w:rPr>
    </w:lvl>
    <w:lvl w:ilvl="2" w:tplc="04090005">
      <w:start w:val="1"/>
      <w:numFmt w:val="bullet"/>
      <w:lvlText w:val=""/>
      <w:lvlJc w:val="left"/>
      <w:pPr>
        <w:ind w:left="2195" w:hanging="360"/>
      </w:pPr>
      <w:rPr>
        <w:rFonts w:ascii="Wingdings" w:hAnsi="Wingdings" w:hint="default"/>
      </w:rPr>
    </w:lvl>
    <w:lvl w:ilvl="3" w:tplc="04090001">
      <w:start w:val="1"/>
      <w:numFmt w:val="bullet"/>
      <w:lvlText w:val=""/>
      <w:lvlJc w:val="left"/>
      <w:pPr>
        <w:ind w:left="2915" w:hanging="360"/>
      </w:pPr>
      <w:rPr>
        <w:rFonts w:ascii="Symbol" w:hAnsi="Symbol" w:hint="default"/>
      </w:rPr>
    </w:lvl>
    <w:lvl w:ilvl="4" w:tplc="04090003">
      <w:start w:val="1"/>
      <w:numFmt w:val="bullet"/>
      <w:lvlText w:val="o"/>
      <w:lvlJc w:val="left"/>
      <w:pPr>
        <w:ind w:left="3635" w:hanging="360"/>
      </w:pPr>
      <w:rPr>
        <w:rFonts w:ascii="Courier New" w:hAnsi="Courier New" w:cs="Courier New" w:hint="default"/>
      </w:rPr>
    </w:lvl>
    <w:lvl w:ilvl="5" w:tplc="04090005">
      <w:start w:val="1"/>
      <w:numFmt w:val="bullet"/>
      <w:lvlText w:val=""/>
      <w:lvlJc w:val="left"/>
      <w:pPr>
        <w:ind w:left="4355" w:hanging="360"/>
      </w:pPr>
      <w:rPr>
        <w:rFonts w:ascii="Wingdings" w:hAnsi="Wingdings" w:hint="default"/>
      </w:rPr>
    </w:lvl>
    <w:lvl w:ilvl="6" w:tplc="04090001">
      <w:start w:val="1"/>
      <w:numFmt w:val="bullet"/>
      <w:lvlText w:val=""/>
      <w:lvlJc w:val="left"/>
      <w:pPr>
        <w:ind w:left="5075" w:hanging="360"/>
      </w:pPr>
      <w:rPr>
        <w:rFonts w:ascii="Symbol" w:hAnsi="Symbol" w:hint="default"/>
      </w:rPr>
    </w:lvl>
    <w:lvl w:ilvl="7" w:tplc="04090003">
      <w:start w:val="1"/>
      <w:numFmt w:val="bullet"/>
      <w:lvlText w:val="o"/>
      <w:lvlJc w:val="left"/>
      <w:pPr>
        <w:ind w:left="5795" w:hanging="360"/>
      </w:pPr>
      <w:rPr>
        <w:rFonts w:ascii="Courier New" w:hAnsi="Courier New" w:cs="Courier New" w:hint="default"/>
      </w:rPr>
    </w:lvl>
    <w:lvl w:ilvl="8" w:tplc="04090005">
      <w:start w:val="1"/>
      <w:numFmt w:val="bullet"/>
      <w:lvlText w:val=""/>
      <w:lvlJc w:val="left"/>
      <w:pPr>
        <w:ind w:left="6515" w:hanging="360"/>
      </w:pPr>
      <w:rPr>
        <w:rFonts w:ascii="Wingdings" w:hAnsi="Wingdings" w:hint="default"/>
      </w:rPr>
    </w:lvl>
  </w:abstractNum>
  <w:abstractNum w:abstractNumId="12" w15:restartNumberingAfterBreak="0">
    <w:nsid w:val="67DA5D12"/>
    <w:multiLevelType w:val="hybridMultilevel"/>
    <w:tmpl w:val="8B2E0D1C"/>
    <w:lvl w:ilvl="0" w:tplc="FC92243C">
      <w:start w:val="1"/>
      <w:numFmt w:val="hebrew1"/>
      <w:lvlText w:val="(%1)"/>
      <w:lvlJc w:val="left"/>
      <w:pPr>
        <w:ind w:left="188" w:hanging="360"/>
      </w:pPr>
    </w:lvl>
    <w:lvl w:ilvl="1" w:tplc="04090019">
      <w:start w:val="1"/>
      <w:numFmt w:val="lowerLetter"/>
      <w:lvlText w:val="%2."/>
      <w:lvlJc w:val="left"/>
      <w:pPr>
        <w:ind w:left="908" w:hanging="360"/>
      </w:pPr>
    </w:lvl>
    <w:lvl w:ilvl="2" w:tplc="0409001B">
      <w:start w:val="1"/>
      <w:numFmt w:val="lowerRoman"/>
      <w:lvlText w:val="%3."/>
      <w:lvlJc w:val="right"/>
      <w:pPr>
        <w:ind w:left="1628" w:hanging="180"/>
      </w:pPr>
    </w:lvl>
    <w:lvl w:ilvl="3" w:tplc="0409000F">
      <w:start w:val="1"/>
      <w:numFmt w:val="decimal"/>
      <w:lvlText w:val="%4."/>
      <w:lvlJc w:val="left"/>
      <w:pPr>
        <w:ind w:left="2348" w:hanging="360"/>
      </w:pPr>
    </w:lvl>
    <w:lvl w:ilvl="4" w:tplc="04090019">
      <w:start w:val="1"/>
      <w:numFmt w:val="lowerLetter"/>
      <w:lvlText w:val="%5."/>
      <w:lvlJc w:val="left"/>
      <w:pPr>
        <w:ind w:left="3068" w:hanging="360"/>
      </w:pPr>
    </w:lvl>
    <w:lvl w:ilvl="5" w:tplc="0409001B">
      <w:start w:val="1"/>
      <w:numFmt w:val="lowerRoman"/>
      <w:lvlText w:val="%6."/>
      <w:lvlJc w:val="right"/>
      <w:pPr>
        <w:ind w:left="3788" w:hanging="180"/>
      </w:pPr>
    </w:lvl>
    <w:lvl w:ilvl="6" w:tplc="0409000F">
      <w:start w:val="1"/>
      <w:numFmt w:val="decimal"/>
      <w:lvlText w:val="%7."/>
      <w:lvlJc w:val="left"/>
      <w:pPr>
        <w:ind w:left="4508" w:hanging="360"/>
      </w:pPr>
    </w:lvl>
    <w:lvl w:ilvl="7" w:tplc="04090019">
      <w:start w:val="1"/>
      <w:numFmt w:val="lowerLetter"/>
      <w:lvlText w:val="%8."/>
      <w:lvlJc w:val="left"/>
      <w:pPr>
        <w:ind w:left="5228" w:hanging="360"/>
      </w:pPr>
    </w:lvl>
    <w:lvl w:ilvl="8" w:tplc="0409001B">
      <w:start w:val="1"/>
      <w:numFmt w:val="lowerRoman"/>
      <w:lvlText w:val="%9."/>
      <w:lvlJc w:val="right"/>
      <w:pPr>
        <w:ind w:left="5948" w:hanging="180"/>
      </w:pPr>
    </w:lvl>
  </w:abstractNum>
  <w:abstractNum w:abstractNumId="13" w15:restartNumberingAfterBreak="0">
    <w:nsid w:val="6B420352"/>
    <w:multiLevelType w:val="hybridMultilevel"/>
    <w:tmpl w:val="015EBB0C"/>
    <w:lvl w:ilvl="0" w:tplc="3466A16A">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4" w15:restartNumberingAfterBreak="0">
    <w:nsid w:val="73AC600F"/>
    <w:multiLevelType w:val="hybridMultilevel"/>
    <w:tmpl w:val="60889F58"/>
    <w:lvl w:ilvl="0" w:tplc="36A81DA4">
      <w:start w:val="1"/>
      <w:numFmt w:val="decimal"/>
      <w:lvlText w:val="(%1)"/>
      <w:lvlJc w:val="left"/>
      <w:pPr>
        <w:ind w:left="2513" w:hanging="810"/>
      </w:pPr>
    </w:lvl>
    <w:lvl w:ilvl="1" w:tplc="04090019">
      <w:start w:val="1"/>
      <w:numFmt w:val="lowerLetter"/>
      <w:lvlText w:val="%2."/>
      <w:lvlJc w:val="left"/>
      <w:pPr>
        <w:ind w:left="2783" w:hanging="360"/>
      </w:pPr>
    </w:lvl>
    <w:lvl w:ilvl="2" w:tplc="0409001B">
      <w:start w:val="1"/>
      <w:numFmt w:val="lowerRoman"/>
      <w:lvlText w:val="%3."/>
      <w:lvlJc w:val="right"/>
      <w:pPr>
        <w:ind w:left="3503" w:hanging="180"/>
      </w:pPr>
    </w:lvl>
    <w:lvl w:ilvl="3" w:tplc="0409000F">
      <w:start w:val="1"/>
      <w:numFmt w:val="decimal"/>
      <w:lvlText w:val="%4."/>
      <w:lvlJc w:val="left"/>
      <w:pPr>
        <w:ind w:left="4223" w:hanging="360"/>
      </w:pPr>
    </w:lvl>
    <w:lvl w:ilvl="4" w:tplc="04090019">
      <w:start w:val="1"/>
      <w:numFmt w:val="lowerLetter"/>
      <w:lvlText w:val="%5."/>
      <w:lvlJc w:val="left"/>
      <w:pPr>
        <w:ind w:left="4943" w:hanging="360"/>
      </w:pPr>
    </w:lvl>
    <w:lvl w:ilvl="5" w:tplc="0409001B">
      <w:start w:val="1"/>
      <w:numFmt w:val="lowerRoman"/>
      <w:lvlText w:val="%6."/>
      <w:lvlJc w:val="right"/>
      <w:pPr>
        <w:ind w:left="5663" w:hanging="180"/>
      </w:pPr>
    </w:lvl>
    <w:lvl w:ilvl="6" w:tplc="0409000F">
      <w:start w:val="1"/>
      <w:numFmt w:val="decimal"/>
      <w:lvlText w:val="%7."/>
      <w:lvlJc w:val="left"/>
      <w:pPr>
        <w:ind w:left="6383" w:hanging="360"/>
      </w:pPr>
    </w:lvl>
    <w:lvl w:ilvl="7" w:tplc="04090019">
      <w:start w:val="1"/>
      <w:numFmt w:val="lowerLetter"/>
      <w:lvlText w:val="%8."/>
      <w:lvlJc w:val="left"/>
      <w:pPr>
        <w:ind w:left="7103" w:hanging="360"/>
      </w:pPr>
    </w:lvl>
    <w:lvl w:ilvl="8" w:tplc="0409001B">
      <w:start w:val="1"/>
      <w:numFmt w:val="lowerRoman"/>
      <w:lvlText w:val="%9."/>
      <w:lvlJc w:val="right"/>
      <w:pPr>
        <w:ind w:left="7823" w:hanging="180"/>
      </w:pPr>
    </w:lvl>
  </w:abstractNum>
  <w:abstractNum w:abstractNumId="15" w15:restartNumberingAfterBreak="0">
    <w:nsid w:val="7C94030B"/>
    <w:multiLevelType w:val="hybridMultilevel"/>
    <w:tmpl w:val="FD789010"/>
    <w:lvl w:ilvl="0" w:tplc="9A309CE2">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B2E97"/>
    <w:rsid w:val="000B3EE1"/>
    <w:rsid w:val="000D4A02"/>
    <w:rsid w:val="000E2E88"/>
    <w:rsid w:val="001072A9"/>
    <w:rsid w:val="00121F97"/>
    <w:rsid w:val="001277D7"/>
    <w:rsid w:val="00132017"/>
    <w:rsid w:val="00133D01"/>
    <w:rsid w:val="00140E42"/>
    <w:rsid w:val="0014234E"/>
    <w:rsid w:val="00145A87"/>
    <w:rsid w:val="001C4003"/>
    <w:rsid w:val="001F5474"/>
    <w:rsid w:val="002352F7"/>
    <w:rsid w:val="00295DD1"/>
    <w:rsid w:val="003725BC"/>
    <w:rsid w:val="00381D3A"/>
    <w:rsid w:val="003823DA"/>
    <w:rsid w:val="003F620D"/>
    <w:rsid w:val="0043595F"/>
    <w:rsid w:val="00445367"/>
    <w:rsid w:val="0046753C"/>
    <w:rsid w:val="0047645A"/>
    <w:rsid w:val="004C5CA7"/>
    <w:rsid w:val="004D49A3"/>
    <w:rsid w:val="004E6E3C"/>
    <w:rsid w:val="005124F1"/>
    <w:rsid w:val="00530BAD"/>
    <w:rsid w:val="00541598"/>
    <w:rsid w:val="00547DB7"/>
    <w:rsid w:val="00567324"/>
    <w:rsid w:val="00590BFF"/>
    <w:rsid w:val="0059699C"/>
    <w:rsid w:val="005B0F49"/>
    <w:rsid w:val="005C7EC6"/>
    <w:rsid w:val="005D4BDB"/>
    <w:rsid w:val="0060626B"/>
    <w:rsid w:val="006201EC"/>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3107C"/>
    <w:rsid w:val="00846D27"/>
    <w:rsid w:val="008610A7"/>
    <w:rsid w:val="008E1332"/>
    <w:rsid w:val="00903896"/>
    <w:rsid w:val="00915EFC"/>
    <w:rsid w:val="00927813"/>
    <w:rsid w:val="00934F1C"/>
    <w:rsid w:val="00944D13"/>
    <w:rsid w:val="00953198"/>
    <w:rsid w:val="00957C90"/>
    <w:rsid w:val="009E0263"/>
    <w:rsid w:val="00A0260A"/>
    <w:rsid w:val="00A267CF"/>
    <w:rsid w:val="00A43458"/>
    <w:rsid w:val="00A62BD0"/>
    <w:rsid w:val="00AC4E19"/>
    <w:rsid w:val="00AF1ED6"/>
    <w:rsid w:val="00B14234"/>
    <w:rsid w:val="00B15761"/>
    <w:rsid w:val="00B32C61"/>
    <w:rsid w:val="00B368FE"/>
    <w:rsid w:val="00B52482"/>
    <w:rsid w:val="00B676AB"/>
    <w:rsid w:val="00B80CBD"/>
    <w:rsid w:val="00BC3369"/>
    <w:rsid w:val="00BF77EE"/>
    <w:rsid w:val="00C32E0F"/>
    <w:rsid w:val="00C42BF9"/>
    <w:rsid w:val="00C83E56"/>
    <w:rsid w:val="00CB4F7C"/>
    <w:rsid w:val="00CD0055"/>
    <w:rsid w:val="00D26B56"/>
    <w:rsid w:val="00D319B3"/>
    <w:rsid w:val="00D53924"/>
    <w:rsid w:val="00D562E1"/>
    <w:rsid w:val="00D60849"/>
    <w:rsid w:val="00D71731"/>
    <w:rsid w:val="00D96D8C"/>
    <w:rsid w:val="00DD337E"/>
    <w:rsid w:val="00E00B6F"/>
    <w:rsid w:val="00E13360"/>
    <w:rsid w:val="00E50B33"/>
    <w:rsid w:val="00E54642"/>
    <w:rsid w:val="00E97908"/>
    <w:rsid w:val="00EF3ED0"/>
    <w:rsid w:val="00F17E56"/>
    <w:rsid w:val="00FA14D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F620D"/>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0431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9053404">
      <w:bodyDiv w:val="1"/>
      <w:marLeft w:val="0"/>
      <w:marRight w:val="0"/>
      <w:marTop w:val="0"/>
      <w:marBottom w:val="0"/>
      <w:divBdr>
        <w:top w:val="none" w:sz="0" w:space="0" w:color="auto"/>
        <w:left w:val="none" w:sz="0" w:space="0" w:color="auto"/>
        <w:bottom w:val="none" w:sz="0" w:space="0" w:color="auto"/>
        <w:right w:val="none" w:sz="0" w:space="0" w:color="auto"/>
      </w:divBdr>
    </w:div>
    <w:div w:id="159181592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
      <w:docPartPr>
        <w:name w:val="CF23C55E153C472887A89D9B7136BCD7"/>
        <w:category>
          <w:name w:val="כללי"/>
          <w:gallery w:val="placeholder"/>
        </w:category>
        <w:types>
          <w:type w:val="bbPlcHdr"/>
        </w:types>
        <w:behaviors>
          <w:behavior w:val="content"/>
        </w:behaviors>
        <w:guid w:val="{36E9EF2C-15FA-4B95-A211-BCB9CC7330BA}"/>
      </w:docPartPr>
      <w:docPartBody>
        <w:p w:rsidR="00F872AB" w:rsidRDefault="00F872AB" w:rsidP="00F872AB">
          <w:pPr>
            <w:pStyle w:val="CF23C55E153C472887A89D9B7136BCD71"/>
          </w:pPr>
          <w:r>
            <w:rPr>
              <w:rFonts w:ascii="Arial" w:hAnsi="Arial"/>
              <w:b/>
              <w:bCs/>
              <w:noProof w:val="0"/>
              <w:sz w:val="26"/>
              <w:szCs w:val="26"/>
              <w:rtl/>
            </w:rPr>
            <w:t>שם צד א' ללא שם של חסוי</w:t>
          </w:r>
        </w:p>
      </w:docPartBody>
    </w:docPart>
    <w:docPart>
      <w:docPartPr>
        <w:name w:val="194E34B33324450F97AD1D486216FCF5"/>
        <w:category>
          <w:name w:val="כללי"/>
          <w:gallery w:val="placeholder"/>
        </w:category>
        <w:types>
          <w:type w:val="bbPlcHdr"/>
        </w:types>
        <w:behaviors>
          <w:behavior w:val="content"/>
        </w:behaviors>
        <w:guid w:val="{F80DDA68-6EB1-44C9-9CD0-E49E279BC75A}"/>
      </w:docPartPr>
      <w:docPartBody>
        <w:p w:rsidR="00F872AB" w:rsidRDefault="00F872AB" w:rsidP="00F872AB">
          <w:pPr>
            <w:pStyle w:val="194E34B33324450F97AD1D486216FCF51"/>
          </w:pPr>
          <w:r>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992B1E"/>
    <w:rsid w:val="00CC5512"/>
    <w:rsid w:val="00F872A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72AB"/>
    <w:rPr>
      <w:color w:val="808080"/>
    </w:rPr>
  </w:style>
  <w:style w:type="paragraph" w:customStyle="1" w:styleId="CF23C55E153C472887A89D9B7136BCD7">
    <w:name w:val="CF23C55E153C472887A89D9B7136BCD7"/>
    <w:rsid w:val="00992B1E"/>
    <w:pPr>
      <w:bidi/>
    </w:pPr>
  </w:style>
  <w:style w:type="paragraph" w:customStyle="1" w:styleId="194E34B33324450F97AD1D486216FCF5">
    <w:name w:val="194E34B33324450F97AD1D486216FCF5"/>
    <w:rsid w:val="00992B1E"/>
    <w:pPr>
      <w:bidi/>
    </w:pPr>
  </w:style>
  <w:style w:type="paragraph" w:customStyle="1" w:styleId="CF23C55E153C472887A89D9B7136BCD71">
    <w:name w:val="CF23C55E153C472887A89D9B7136BCD71"/>
    <w:rsid w:val="00F872AB"/>
    <w:pPr>
      <w:bidi/>
      <w:spacing w:after="0" w:line="240" w:lineRule="auto"/>
    </w:pPr>
    <w:rPr>
      <w:rFonts w:ascii="Times New Roman" w:eastAsia="Times New Roman" w:hAnsi="Times New Roman" w:cs="David"/>
      <w:noProof/>
      <w:sz w:val="24"/>
      <w:szCs w:val="24"/>
    </w:rPr>
  </w:style>
  <w:style w:type="paragraph" w:customStyle="1" w:styleId="194E34B33324450F97AD1D486216FCF51">
    <w:name w:val="194E34B33324450F97AD1D486216FCF51"/>
    <w:rsid w:val="00F872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4885</Words>
  <Characters>24426</Characters>
  <Application>Microsoft Office Word</Application>
  <DocSecurity>4</DocSecurity>
  <Lines>203</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2023-06-06T06:16:00Z</dcterms:created>
  <dcterms:modified xsi:type="dcterms:W3CDTF">2023-06-06T06:16:00Z</dcterms:modified>
</cp:coreProperties>
</file>